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B8A80" w14:textId="77777777" w:rsidR="00295581" w:rsidRDefault="00295581" w:rsidP="00A512E0">
      <w:pPr>
        <w:jc w:val="both"/>
        <w:rPr>
          <w:lang w:val="mi-NZ"/>
        </w:rPr>
      </w:pPr>
    </w:p>
    <w:p w14:paraId="776D27F0" w14:textId="77777777" w:rsidR="001B00EC" w:rsidRDefault="0075469D" w:rsidP="00A512E0">
      <w:pPr>
        <w:jc w:val="both"/>
        <w:rPr>
          <w:lang w:val="mi-NZ"/>
        </w:rPr>
      </w:pPr>
      <w:r>
        <w:rPr>
          <w:noProof/>
          <w:lang w:eastAsia="en-NZ"/>
        </w:rPr>
        <w:drawing>
          <wp:inline distT="0" distB="0" distL="0" distR="0" wp14:anchorId="2BE79ED8" wp14:editId="6FC57E76">
            <wp:extent cx="5734050" cy="2428875"/>
            <wp:effectExtent l="0" t="0" r="0"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2428875"/>
                    </a:xfrm>
                    <a:prstGeom prst="rect">
                      <a:avLst/>
                    </a:prstGeom>
                    <a:noFill/>
                    <a:ln>
                      <a:noFill/>
                    </a:ln>
                  </pic:spPr>
                </pic:pic>
              </a:graphicData>
            </a:graphic>
          </wp:inline>
        </w:drawing>
      </w:r>
    </w:p>
    <w:p w14:paraId="31A2216B" w14:textId="77777777" w:rsidR="001B00EC" w:rsidRPr="00997F0D" w:rsidRDefault="001B00EC" w:rsidP="00A512E0">
      <w:pPr>
        <w:jc w:val="both"/>
        <w:rPr>
          <w:b/>
          <w:lang w:val="mi-NZ"/>
        </w:rPr>
      </w:pPr>
      <w:r w:rsidRPr="00997F0D">
        <w:rPr>
          <w:b/>
          <w:lang w:val="mi-NZ"/>
        </w:rPr>
        <w:t>Meeting Notes</w:t>
      </w:r>
    </w:p>
    <w:p w14:paraId="33E8C9D5" w14:textId="7D4C8AB9" w:rsidR="003E0AFD" w:rsidRPr="00997F0D" w:rsidRDefault="00F008B0" w:rsidP="00A512E0">
      <w:pPr>
        <w:jc w:val="both"/>
        <w:rPr>
          <w:b/>
          <w:lang w:val="mi-NZ"/>
        </w:rPr>
      </w:pPr>
      <w:r w:rsidRPr="00997F0D">
        <w:rPr>
          <w:b/>
          <w:lang w:val="mi-NZ"/>
        </w:rPr>
        <w:t>Grey River Freshwater Management Unit Meeting</w:t>
      </w:r>
      <w:r w:rsidR="00F201EC">
        <w:rPr>
          <w:b/>
          <w:lang w:val="mi-NZ"/>
        </w:rPr>
        <w:t xml:space="preserve"> – Meeting 1</w:t>
      </w:r>
      <w:r w:rsidR="001247BC">
        <w:rPr>
          <w:b/>
          <w:lang w:val="mi-NZ"/>
        </w:rPr>
        <w:t>6</w:t>
      </w:r>
    </w:p>
    <w:p w14:paraId="0493C08E" w14:textId="4B917B71" w:rsidR="004C1767" w:rsidRDefault="00E542FB" w:rsidP="00A512E0">
      <w:pPr>
        <w:jc w:val="both"/>
        <w:rPr>
          <w:b/>
          <w:lang w:val="mi-NZ"/>
        </w:rPr>
      </w:pPr>
      <w:r>
        <w:rPr>
          <w:b/>
          <w:lang w:val="mi-NZ"/>
        </w:rPr>
        <w:t>Date:</w:t>
      </w:r>
      <w:r>
        <w:rPr>
          <w:b/>
          <w:lang w:val="mi-NZ"/>
        </w:rPr>
        <w:tab/>
      </w:r>
      <w:r w:rsidR="001247BC">
        <w:rPr>
          <w:b/>
          <w:lang w:val="mi-NZ"/>
        </w:rPr>
        <w:t>28/01/20</w:t>
      </w:r>
      <w:r w:rsidR="00F008B0" w:rsidRPr="00997F0D">
        <w:rPr>
          <w:b/>
          <w:lang w:val="mi-NZ"/>
        </w:rPr>
        <w:t xml:space="preserve"> </w:t>
      </w:r>
    </w:p>
    <w:p w14:paraId="334EC8B3" w14:textId="77777777" w:rsidR="00F008B0" w:rsidRPr="00997F0D" w:rsidRDefault="00F008B0" w:rsidP="00A512E0">
      <w:pPr>
        <w:jc w:val="both"/>
        <w:rPr>
          <w:b/>
          <w:lang w:val="mi-NZ"/>
        </w:rPr>
      </w:pPr>
      <w:r w:rsidRPr="00997F0D">
        <w:rPr>
          <w:b/>
          <w:lang w:val="mi-NZ"/>
        </w:rPr>
        <w:t xml:space="preserve">Location: West Coast Regional </w:t>
      </w:r>
      <w:r w:rsidRPr="00997F0D">
        <w:rPr>
          <w:b/>
        </w:rPr>
        <w:t>Council</w:t>
      </w:r>
      <w:r w:rsidRPr="00997F0D">
        <w:rPr>
          <w:b/>
          <w:lang w:val="mi-NZ"/>
        </w:rPr>
        <w:t xml:space="preserve"> Chambers</w:t>
      </w:r>
    </w:p>
    <w:p w14:paraId="70764EF2" w14:textId="77777777" w:rsidR="00F008B0" w:rsidRDefault="00F008B0" w:rsidP="00A512E0">
      <w:pPr>
        <w:jc w:val="both"/>
        <w:rPr>
          <w:lang w:val="mi-NZ"/>
        </w:rPr>
      </w:pPr>
    </w:p>
    <w:p w14:paraId="05BF848A" w14:textId="77777777" w:rsidR="001B00EC" w:rsidRPr="0014084C" w:rsidRDefault="00F008B0" w:rsidP="00A512E0">
      <w:pPr>
        <w:jc w:val="both"/>
        <w:rPr>
          <w:i/>
          <w:lang w:val="mi-NZ"/>
        </w:rPr>
      </w:pPr>
      <w:r w:rsidRPr="0014084C">
        <w:rPr>
          <w:i/>
          <w:lang w:val="mi-NZ"/>
        </w:rPr>
        <w:t>Present</w:t>
      </w:r>
      <w:r w:rsidR="00DE14FF" w:rsidRPr="0014084C">
        <w:rPr>
          <w:i/>
          <w:lang w:val="mi-NZ"/>
        </w:rPr>
        <w:t xml:space="preserve"> at Meeting</w:t>
      </w:r>
      <w:r w:rsidRPr="0014084C">
        <w:rPr>
          <w:i/>
          <w:lang w:val="mi-NZ"/>
        </w:rPr>
        <w:t xml:space="preserve">: </w:t>
      </w:r>
    </w:p>
    <w:p w14:paraId="1F4C67E5" w14:textId="73B2CB1A" w:rsidR="00EE7F48" w:rsidRDefault="004C1767" w:rsidP="00A512E0">
      <w:pPr>
        <w:jc w:val="both"/>
      </w:pPr>
      <w:r>
        <w:rPr>
          <w:lang w:val="mi-NZ"/>
        </w:rPr>
        <w:t>Sonya Perkin (Chair),</w:t>
      </w:r>
      <w:r w:rsidR="00F46AA2">
        <w:rPr>
          <w:lang w:val="mi-NZ"/>
        </w:rPr>
        <w:t xml:space="preserve"> </w:t>
      </w:r>
      <w:r w:rsidR="007F0473">
        <w:t>Karen Grant, Baylee Kersten</w:t>
      </w:r>
      <w:r w:rsidR="00352F05">
        <w:rPr>
          <w:lang w:val="mi-NZ"/>
        </w:rPr>
        <w:t>,</w:t>
      </w:r>
      <w:r w:rsidR="007A2CB7">
        <w:t xml:space="preserve"> </w:t>
      </w:r>
      <w:r w:rsidR="007A2CB7">
        <w:rPr>
          <w:lang w:val="mi-NZ"/>
        </w:rPr>
        <w:t>Trevor Johnstone, Dave Waghorn</w:t>
      </w:r>
      <w:r w:rsidR="001247BC">
        <w:t>,</w:t>
      </w:r>
      <w:r w:rsidR="001247BC" w:rsidRPr="007A2CB7">
        <w:rPr>
          <w:lang w:val="mi-NZ"/>
        </w:rPr>
        <w:t xml:space="preserve"> </w:t>
      </w:r>
      <w:r w:rsidR="001247BC">
        <w:rPr>
          <w:lang w:val="mi-NZ"/>
        </w:rPr>
        <w:t>Stu Bland,</w:t>
      </w:r>
      <w:r w:rsidR="001247BC" w:rsidRPr="001B00EC">
        <w:rPr>
          <w:lang w:val="mi-NZ"/>
        </w:rPr>
        <w:t xml:space="preserve"> </w:t>
      </w:r>
      <w:r w:rsidR="007A2CB7">
        <w:rPr>
          <w:lang w:val="mi-NZ"/>
        </w:rPr>
        <w:t>Jonny Horrox</w:t>
      </w:r>
      <w:r w:rsidR="005D20DD">
        <w:rPr>
          <w:lang w:val="mi-NZ"/>
        </w:rPr>
        <w:t xml:space="preserve"> (WCRC)</w:t>
      </w:r>
      <w:r w:rsidR="007A2CB7">
        <w:t>, Lillie Sadler (WCRC)</w:t>
      </w:r>
      <w:r w:rsidR="001247BC">
        <w:rPr>
          <w:lang w:val="mi-NZ"/>
        </w:rPr>
        <w:t>,</w:t>
      </w:r>
      <w:r w:rsidR="001247BC" w:rsidRPr="001247BC">
        <w:rPr>
          <w:lang w:val="mi-NZ"/>
        </w:rPr>
        <w:t xml:space="preserve"> </w:t>
      </w:r>
      <w:r w:rsidR="001247BC" w:rsidRPr="001B00EC">
        <w:rPr>
          <w:lang w:val="mi-NZ"/>
        </w:rPr>
        <w:t>Philippa Lynch (Ngai</w:t>
      </w:r>
      <w:r w:rsidR="001247BC">
        <w:rPr>
          <w:lang w:val="mi-NZ"/>
        </w:rPr>
        <w:t xml:space="preserve"> Tahu)</w:t>
      </w:r>
      <w:r w:rsidR="001247BC">
        <w:t>.</w:t>
      </w:r>
    </w:p>
    <w:p w14:paraId="67EA9ED2" w14:textId="3E2A09A8" w:rsidR="001247BC" w:rsidRPr="009F03AA" w:rsidRDefault="001247BC" w:rsidP="00A512E0">
      <w:pPr>
        <w:jc w:val="both"/>
      </w:pPr>
      <w:r>
        <w:t>Guests: Kurtis Perrin-Smith (GDC), Rob Dewhurst (GDC).</w:t>
      </w:r>
    </w:p>
    <w:p w14:paraId="513A73CA" w14:textId="4A3778B8" w:rsidR="00697C40" w:rsidRDefault="00BE6C9E" w:rsidP="00BA55F9">
      <w:pPr>
        <w:jc w:val="both"/>
        <w:rPr>
          <w:lang w:val="mi-NZ"/>
        </w:rPr>
      </w:pPr>
      <w:r w:rsidRPr="00C70C83">
        <w:rPr>
          <w:lang w:val="mi-NZ"/>
        </w:rPr>
        <w:t>Apologies</w:t>
      </w:r>
      <w:r w:rsidR="00C70C83">
        <w:t>:</w:t>
      </w:r>
      <w:r w:rsidR="00F46AA2" w:rsidRPr="00F46AA2">
        <w:rPr>
          <w:lang w:val="mi-NZ"/>
        </w:rPr>
        <w:t xml:space="preserve"> </w:t>
      </w:r>
      <w:r w:rsidR="00352F05">
        <w:t>Murray Hay (GDC), Scott Williams</w:t>
      </w:r>
      <w:r w:rsidR="008D2112">
        <w:t>,</w:t>
      </w:r>
      <w:r w:rsidR="008D2112">
        <w:t xml:space="preserve"> Jim Galloway.</w:t>
      </w:r>
    </w:p>
    <w:p w14:paraId="510D02BA" w14:textId="3B650F57" w:rsidR="007A2CB7" w:rsidRDefault="007A2CB7" w:rsidP="00BA55F9">
      <w:pPr>
        <w:jc w:val="both"/>
      </w:pPr>
      <w:r>
        <w:rPr>
          <w:lang w:val="mi-NZ"/>
        </w:rPr>
        <w:t>Absent:</w:t>
      </w:r>
      <w:r w:rsidRPr="007A2CB7">
        <w:t xml:space="preserve"> </w:t>
      </w:r>
      <w:r w:rsidR="008D2112">
        <w:t>Brett Cummings (WCRC)</w:t>
      </w:r>
    </w:p>
    <w:p w14:paraId="4A78DDAE" w14:textId="77777777" w:rsidR="009D2F6B" w:rsidRDefault="009D2F6B" w:rsidP="00BA55F9">
      <w:pPr>
        <w:jc w:val="both"/>
      </w:pPr>
      <w:bookmarkStart w:id="0" w:name="_GoBack"/>
      <w:bookmarkEnd w:id="0"/>
    </w:p>
    <w:p w14:paraId="59A94A2B" w14:textId="28C84CA0" w:rsidR="007F0473" w:rsidRDefault="001247BC" w:rsidP="00BA55F9">
      <w:pPr>
        <w:jc w:val="both"/>
        <w:rPr>
          <w:b/>
        </w:rPr>
      </w:pPr>
      <w:r>
        <w:rPr>
          <w:b/>
        </w:rPr>
        <w:t>Grey District Council – Drinking Water</w:t>
      </w:r>
    </w:p>
    <w:p w14:paraId="650F4234" w14:textId="319C4FB0" w:rsidR="00E8073A" w:rsidRDefault="00C70C83" w:rsidP="00BA55F9">
      <w:pPr>
        <w:jc w:val="both"/>
      </w:pPr>
      <w:r>
        <w:t>Kur</w:t>
      </w:r>
      <w:r w:rsidR="001247BC">
        <w:t xml:space="preserve">tis and Rob presented on the threats to </w:t>
      </w:r>
      <w:r w:rsidR="00002668">
        <w:t xml:space="preserve">municipal </w:t>
      </w:r>
      <w:r w:rsidR="001247BC">
        <w:t xml:space="preserve">drinking water </w:t>
      </w:r>
      <w:r w:rsidR="00002668">
        <w:t>supplies in the Grey FMU</w:t>
      </w:r>
      <w:r w:rsidR="00304313">
        <w:t xml:space="preserve">. </w:t>
      </w:r>
    </w:p>
    <w:p w14:paraId="1876A1A1" w14:textId="786C1EBB" w:rsidR="004A1C8F" w:rsidRDefault="00181812" w:rsidP="00BA55F9">
      <w:pPr>
        <w:jc w:val="both"/>
      </w:pPr>
      <w:r>
        <w:t xml:space="preserve">There are several private water supplies in the FMU. Those under GDC </w:t>
      </w:r>
      <w:r w:rsidR="004A1C8F">
        <w:t>custodianship</w:t>
      </w:r>
      <w:r>
        <w:t xml:space="preserve"> are </w:t>
      </w:r>
      <w:r w:rsidR="00002668">
        <w:t xml:space="preserve">Greymouth, </w:t>
      </w:r>
      <w:proofErr w:type="spellStart"/>
      <w:r w:rsidR="00002668">
        <w:t>Runanga</w:t>
      </w:r>
      <w:proofErr w:type="spellEnd"/>
      <w:r w:rsidR="00002668">
        <w:t xml:space="preserve">, &amp; </w:t>
      </w:r>
      <w:r w:rsidR="004A1C8F">
        <w:t xml:space="preserve">Blackball. A number of risks have been identified. </w:t>
      </w:r>
    </w:p>
    <w:p w14:paraId="173E30A4" w14:textId="3B3F77C8" w:rsidR="00181812" w:rsidRDefault="004A1C8F" w:rsidP="00BA55F9">
      <w:pPr>
        <w:jc w:val="both"/>
      </w:pPr>
      <w:r w:rsidRPr="004A1C8F">
        <w:rPr>
          <w:b/>
        </w:rPr>
        <w:t>Low risk scenarios</w:t>
      </w:r>
      <w:r>
        <w:t xml:space="preserve"> include: elevated nitrate, flood inundation, earthworks disrupting aquifer, dry weather changing water chemistry, surface microbial contamination permeating surface layers, silt blockage associated with earthquakes.</w:t>
      </w:r>
    </w:p>
    <w:p w14:paraId="0CE319B6" w14:textId="0777B836" w:rsidR="004A1C8F" w:rsidRDefault="004A1C8F" w:rsidP="00BA55F9">
      <w:pPr>
        <w:jc w:val="both"/>
      </w:pPr>
      <w:r w:rsidRPr="004A1C8F">
        <w:rPr>
          <w:b/>
        </w:rPr>
        <w:t>Moderate risk</w:t>
      </w:r>
      <w:r>
        <w:t xml:space="preserve"> scenarios include: a road accident that discharges highly toxic substances upstream or up gradient of a take, toxins associated with cyanobacterial bloom, contaminants entering private bores that are up gradient from municipal takes. </w:t>
      </w:r>
    </w:p>
    <w:p w14:paraId="1D22B2C0" w14:textId="77777777" w:rsidR="00B241A8" w:rsidRDefault="00B241A8" w:rsidP="00BA55F9">
      <w:pPr>
        <w:jc w:val="both"/>
      </w:pPr>
    </w:p>
    <w:p w14:paraId="16E2A904" w14:textId="28B0AE7D" w:rsidR="00B241A8" w:rsidRDefault="00B241A8" w:rsidP="00BA55F9">
      <w:pPr>
        <w:jc w:val="both"/>
      </w:pPr>
      <w:r>
        <w:lastRenderedPageBreak/>
        <w:t>Actions that would improve drinking water security:</w:t>
      </w:r>
    </w:p>
    <w:p w14:paraId="3FC48831" w14:textId="4B67580E" w:rsidR="00B241A8" w:rsidRDefault="00B241A8" w:rsidP="00B241A8">
      <w:pPr>
        <w:pStyle w:val="ListParagraph"/>
        <w:numPr>
          <w:ilvl w:val="0"/>
          <w:numId w:val="17"/>
        </w:numPr>
        <w:jc w:val="both"/>
      </w:pPr>
      <w:r>
        <w:t xml:space="preserve">Contingency plans for managing spills that pose a catastrophic risk to drinking water supplies. Managing the spill so that </w:t>
      </w:r>
      <w:r w:rsidR="00132B03">
        <w:t>it</w:t>
      </w:r>
      <w:r>
        <w:t xml:space="preserve"> </w:t>
      </w:r>
      <w:r w:rsidR="00132B03">
        <w:t>does not</w:t>
      </w:r>
      <w:r>
        <w:t xml:space="preserve"> contaminate </w:t>
      </w:r>
      <w:r w:rsidR="00132B03">
        <w:t xml:space="preserve">a </w:t>
      </w:r>
      <w:r w:rsidR="00273BDF">
        <w:t>water supp</w:t>
      </w:r>
      <w:r w:rsidR="00132B03">
        <w:t>ly</w:t>
      </w:r>
      <w:r w:rsidR="00273BDF">
        <w:t xml:space="preserve"> would be under the RC’s jurisdiction. </w:t>
      </w:r>
    </w:p>
    <w:p w14:paraId="68686145" w14:textId="4F80F973" w:rsidR="00273BDF" w:rsidRDefault="00273BDF" w:rsidP="00B241A8">
      <w:pPr>
        <w:pStyle w:val="ListParagraph"/>
        <w:numPr>
          <w:ilvl w:val="0"/>
          <w:numId w:val="17"/>
        </w:numPr>
        <w:jc w:val="both"/>
      </w:pPr>
      <w:r>
        <w:t xml:space="preserve">Managing major land development where it could </w:t>
      </w:r>
      <w:r w:rsidR="00132B03">
        <w:t>affect</w:t>
      </w:r>
      <w:r>
        <w:t xml:space="preserve"> a water supply, particularly a groundwater take. There are examples where major humping and hollowing has led to buried organic material contaminating water supplies e.g. </w:t>
      </w:r>
      <w:proofErr w:type="spellStart"/>
      <w:r>
        <w:t>Atarau</w:t>
      </w:r>
      <w:proofErr w:type="spellEnd"/>
      <w:r>
        <w:t>/Moonlight</w:t>
      </w:r>
    </w:p>
    <w:p w14:paraId="29959D74" w14:textId="597EE798" w:rsidR="00273BDF" w:rsidRDefault="00273BDF" w:rsidP="00B241A8">
      <w:pPr>
        <w:pStyle w:val="ListParagraph"/>
        <w:numPr>
          <w:ilvl w:val="0"/>
          <w:numId w:val="17"/>
        </w:numPr>
        <w:jc w:val="both"/>
      </w:pPr>
      <w:r>
        <w:t xml:space="preserve">Firmer management of structures that provide a direct pathway to the aquifer i.e. bypass dry and vadose layers above the groundwater level. Particular examples are private bores that are up gradient of a municipal take, where these bores have inadequate </w:t>
      </w:r>
      <w:r w:rsidR="00132B03">
        <w:t>wellhead</w:t>
      </w:r>
      <w:r>
        <w:t xml:space="preserve"> protection. </w:t>
      </w:r>
    </w:p>
    <w:p w14:paraId="156BA5DA" w14:textId="77777777" w:rsidR="007F0473" w:rsidRPr="007F0473" w:rsidRDefault="007F0473" w:rsidP="00BA55F9">
      <w:pPr>
        <w:jc w:val="both"/>
      </w:pPr>
    </w:p>
    <w:p w14:paraId="5DC65151" w14:textId="6FBB95AD" w:rsidR="007F0473" w:rsidRDefault="00132B03" w:rsidP="00BA55F9">
      <w:pPr>
        <w:jc w:val="both"/>
        <w:rPr>
          <w:b/>
        </w:rPr>
      </w:pPr>
      <w:r>
        <w:rPr>
          <w:b/>
        </w:rPr>
        <w:t xml:space="preserve">Further work on </w:t>
      </w:r>
      <w:r w:rsidR="00304313">
        <w:rPr>
          <w:b/>
        </w:rPr>
        <w:t xml:space="preserve">Water Quality </w:t>
      </w:r>
      <w:r>
        <w:rPr>
          <w:b/>
        </w:rPr>
        <w:t>r</w:t>
      </w:r>
      <w:r w:rsidR="007A2CB7">
        <w:rPr>
          <w:b/>
        </w:rPr>
        <w:t>ecommendations</w:t>
      </w:r>
    </w:p>
    <w:p w14:paraId="40E02DD6" w14:textId="18C29E8E" w:rsidR="00304313" w:rsidRDefault="0074202F" w:rsidP="00BA55F9">
      <w:pPr>
        <w:jc w:val="both"/>
      </w:pPr>
      <w:r>
        <w:t xml:space="preserve">Group worked through </w:t>
      </w:r>
      <w:r w:rsidR="00132B03">
        <w:t xml:space="preserve">main </w:t>
      </w:r>
      <w:r>
        <w:t xml:space="preserve">attributes, national bottom lines and </w:t>
      </w:r>
      <w:r w:rsidR="004C1511">
        <w:t>ways to achieve them</w:t>
      </w:r>
      <w:r>
        <w:t xml:space="preserve">. </w:t>
      </w:r>
    </w:p>
    <w:p w14:paraId="4D5682C9" w14:textId="52425D13" w:rsidR="00304313" w:rsidRPr="00304313" w:rsidRDefault="004C1511" w:rsidP="00BA55F9">
      <w:pPr>
        <w:jc w:val="both"/>
        <w:rPr>
          <w:i/>
        </w:rPr>
      </w:pPr>
      <w:r>
        <w:rPr>
          <w:i/>
        </w:rPr>
        <w:t>E</w:t>
      </w:r>
      <w:r w:rsidR="00304313" w:rsidRPr="00304313">
        <w:rPr>
          <w:i/>
        </w:rPr>
        <w:t xml:space="preserve">.coli </w:t>
      </w:r>
    </w:p>
    <w:p w14:paraId="0B578997" w14:textId="77777777" w:rsidR="003C65F1" w:rsidRDefault="004C1511" w:rsidP="004C1511">
      <w:pPr>
        <w:jc w:val="both"/>
      </w:pPr>
      <w:r>
        <w:t xml:space="preserve">Microbial health of waterways are of high importance to the community. Some concern around human faecal sources. Municipal sewerage discharges are well managed by GDC, and there are consents to cover these activities. GDC are constantly improving as funding allows, including pressure on the Greymouth properties yet to connect to available separated networks. </w:t>
      </w:r>
    </w:p>
    <w:p w14:paraId="3D492B78" w14:textId="06988C66" w:rsidR="004C1511" w:rsidRDefault="003C65F1" w:rsidP="003C65F1">
      <w:pPr>
        <w:pStyle w:val="ListParagraph"/>
        <w:numPr>
          <w:ilvl w:val="0"/>
          <w:numId w:val="15"/>
        </w:numPr>
        <w:jc w:val="both"/>
      </w:pPr>
      <w:r>
        <w:t>Getting urban properties connected to separated sewerage is a high priority –</w:t>
      </w:r>
      <w:r w:rsidR="00132B03">
        <w:t xml:space="preserve"> maybe</w:t>
      </w:r>
      <w:r>
        <w:t xml:space="preserve"> a loan scheme is required to help facilitate faster uptake and connection. </w:t>
      </w:r>
    </w:p>
    <w:p w14:paraId="3AA27C45" w14:textId="42A10136" w:rsidR="00304313" w:rsidRDefault="003C65F1" w:rsidP="0074202F">
      <w:pPr>
        <w:pStyle w:val="ListParagraph"/>
        <w:numPr>
          <w:ilvl w:val="0"/>
          <w:numId w:val="15"/>
        </w:numPr>
        <w:jc w:val="both"/>
      </w:pPr>
      <w:r>
        <w:t>B</w:t>
      </w:r>
      <w:r w:rsidR="00304313">
        <w:t xml:space="preserve">ores </w:t>
      </w:r>
      <w:r>
        <w:t>should be</w:t>
      </w:r>
      <w:r w:rsidR="00304313">
        <w:t xml:space="preserve"> required to </w:t>
      </w:r>
      <w:r>
        <w:t xml:space="preserve">comply with a minimum practical standard of </w:t>
      </w:r>
      <w:r w:rsidR="00C561B8">
        <w:t>wellhead</w:t>
      </w:r>
      <w:r>
        <w:t xml:space="preserve"> protection</w:t>
      </w:r>
      <w:r w:rsidR="00304313">
        <w:t>.</w:t>
      </w:r>
      <w:r>
        <w:t xml:space="preserve"> </w:t>
      </w:r>
      <w:r w:rsidR="00C561B8">
        <w:t xml:space="preserve">We don’t want another Hastings. </w:t>
      </w:r>
    </w:p>
    <w:p w14:paraId="5D3ADF81" w14:textId="5B09BFC5" w:rsidR="00C561B8" w:rsidRDefault="00C561B8" w:rsidP="00BA55F9">
      <w:pPr>
        <w:pStyle w:val="ListParagraph"/>
        <w:numPr>
          <w:ilvl w:val="0"/>
          <w:numId w:val="15"/>
        </w:numPr>
        <w:jc w:val="both"/>
      </w:pPr>
      <w:r>
        <w:t>Fencing: Conditions around this could be modified according to stocking rate. For example, areas with low stocking rates are likely to have more waterways p</w:t>
      </w:r>
      <w:r w:rsidR="00132B03">
        <w:t>er stocking unit</w:t>
      </w:r>
      <w:r>
        <w:t xml:space="preserve">, making the cost of fencing disproportionately high relative to potential impacts. </w:t>
      </w:r>
    </w:p>
    <w:p w14:paraId="475F78B2" w14:textId="107CF45C" w:rsidR="00C561B8" w:rsidRDefault="00C561B8" w:rsidP="00BA55F9">
      <w:pPr>
        <w:pStyle w:val="ListParagraph"/>
        <w:numPr>
          <w:ilvl w:val="0"/>
          <w:numId w:val="15"/>
        </w:numPr>
        <w:jc w:val="both"/>
      </w:pPr>
      <w:r>
        <w:t xml:space="preserve">Stock exclusion is good, but it needs to be applied in a way that considers the cost and logistic implications, like flood </w:t>
      </w:r>
      <w:r w:rsidR="00406762">
        <w:t>risk</w:t>
      </w:r>
      <w:r>
        <w:t xml:space="preserve">. </w:t>
      </w:r>
    </w:p>
    <w:p w14:paraId="6E3827C3" w14:textId="4F759191" w:rsidR="0074202F" w:rsidRDefault="0074202F" w:rsidP="00BA55F9">
      <w:pPr>
        <w:jc w:val="both"/>
        <w:rPr>
          <w:i/>
        </w:rPr>
      </w:pPr>
      <w:r>
        <w:rPr>
          <w:i/>
        </w:rPr>
        <w:t>Turbidity</w:t>
      </w:r>
    </w:p>
    <w:p w14:paraId="5183FC5E" w14:textId="366A4FAA" w:rsidR="0074202F" w:rsidRDefault="0074202F" w:rsidP="0074202F">
      <w:pPr>
        <w:pStyle w:val="ListParagraph"/>
        <w:numPr>
          <w:ilvl w:val="0"/>
          <w:numId w:val="16"/>
        </w:numPr>
        <w:jc w:val="both"/>
      </w:pPr>
      <w:r>
        <w:t xml:space="preserve">Encourage best practice for sediment management, for different types of use: mining, farming, forestry sediment, urban development. </w:t>
      </w:r>
      <w:r w:rsidR="00B11699">
        <w:t xml:space="preserve">Recommendations for good practice measures to be tailored for specific activities. </w:t>
      </w:r>
    </w:p>
    <w:p w14:paraId="277EEE79" w14:textId="2039B313" w:rsidR="00B11699" w:rsidRDefault="00B11699" w:rsidP="00B11699">
      <w:pPr>
        <w:jc w:val="both"/>
      </w:pPr>
      <w:r>
        <w:t xml:space="preserve">Concern around the role of forestry with sedimentation in streams. Group informed about the National </w:t>
      </w:r>
      <w:r w:rsidR="00132B03">
        <w:t>Environmental Standard for Plantation F</w:t>
      </w:r>
      <w:r>
        <w:t xml:space="preserve">orestry, significantly amended in 2018, which will improve the regulation of sediment discharges from forestry operations. </w:t>
      </w:r>
    </w:p>
    <w:p w14:paraId="13BEB850" w14:textId="6BF3F249" w:rsidR="00B11699" w:rsidRDefault="008D2112" w:rsidP="00B11699">
      <w:pPr>
        <w:jc w:val="both"/>
      </w:pPr>
      <w:hyperlink r:id="rId7" w:history="1">
        <w:r w:rsidR="00B11699" w:rsidRPr="00AB3D40">
          <w:rPr>
            <w:rStyle w:val="Hyperlink"/>
          </w:rPr>
          <w:t>https://www.mpi.govt.nz/growing-and-harvesting/forestry/national-environmental-standards-for-plantation-forestry/</w:t>
        </w:r>
      </w:hyperlink>
    </w:p>
    <w:p w14:paraId="1DA7C1D1" w14:textId="77777777" w:rsidR="0074202F" w:rsidRPr="0074202F" w:rsidRDefault="0074202F" w:rsidP="00BA55F9">
      <w:pPr>
        <w:jc w:val="both"/>
      </w:pPr>
    </w:p>
    <w:p w14:paraId="5B019A08" w14:textId="77777777" w:rsidR="00E85F96" w:rsidRDefault="00E85F96" w:rsidP="00BA55F9">
      <w:pPr>
        <w:jc w:val="both"/>
        <w:rPr>
          <w:i/>
        </w:rPr>
      </w:pPr>
    </w:p>
    <w:p w14:paraId="0F2AA99D" w14:textId="77777777" w:rsidR="00E85F96" w:rsidRDefault="00E85F96" w:rsidP="00BA55F9">
      <w:pPr>
        <w:jc w:val="both"/>
        <w:rPr>
          <w:i/>
        </w:rPr>
      </w:pPr>
    </w:p>
    <w:p w14:paraId="551B026B" w14:textId="77777777" w:rsidR="00E85F96" w:rsidRDefault="00E85F96" w:rsidP="00BA55F9">
      <w:pPr>
        <w:jc w:val="both"/>
        <w:rPr>
          <w:i/>
        </w:rPr>
      </w:pPr>
    </w:p>
    <w:p w14:paraId="13F66279" w14:textId="72B99877" w:rsidR="0074202F" w:rsidRDefault="0074202F" w:rsidP="00BA55F9">
      <w:pPr>
        <w:jc w:val="both"/>
        <w:rPr>
          <w:i/>
        </w:rPr>
      </w:pPr>
      <w:r>
        <w:rPr>
          <w:i/>
        </w:rPr>
        <w:lastRenderedPageBreak/>
        <w:t>Fauna</w:t>
      </w:r>
    </w:p>
    <w:p w14:paraId="3AEC794A" w14:textId="2CF62C5D" w:rsidR="0074202F" w:rsidRDefault="0074202F" w:rsidP="0074202F">
      <w:pPr>
        <w:pStyle w:val="ListParagraph"/>
        <w:numPr>
          <w:ilvl w:val="0"/>
          <w:numId w:val="16"/>
        </w:numPr>
        <w:jc w:val="both"/>
      </w:pPr>
      <w:r>
        <w:t>Set above national bottom line, 80-100 MCI</w:t>
      </w:r>
    </w:p>
    <w:p w14:paraId="7B10A7CD" w14:textId="1FE1EE2C" w:rsidR="0074202F" w:rsidRDefault="0074202F" w:rsidP="0074202F">
      <w:pPr>
        <w:pStyle w:val="ListParagraph"/>
        <w:numPr>
          <w:ilvl w:val="0"/>
          <w:numId w:val="16"/>
        </w:numPr>
        <w:jc w:val="both"/>
      </w:pPr>
      <w:r>
        <w:t xml:space="preserve">Provide education </w:t>
      </w:r>
      <w:r w:rsidR="00B11699">
        <w:t>and extension</w:t>
      </w:r>
      <w:r>
        <w:t xml:space="preserve"> for </w:t>
      </w:r>
      <w:r w:rsidR="00B11699">
        <w:t>people</w:t>
      </w:r>
      <w:r>
        <w:t xml:space="preserve"> on</w:t>
      </w:r>
      <w:r w:rsidR="00132B03">
        <w:t xml:space="preserve"> how to provide quality habitat,</w:t>
      </w:r>
      <w:r>
        <w:t xml:space="preserve"> aquatic weed recognition, fencing waterways.</w:t>
      </w:r>
    </w:p>
    <w:p w14:paraId="7F5F3E18" w14:textId="77777777" w:rsidR="00E85F96" w:rsidRDefault="00E85F96" w:rsidP="00B11699">
      <w:pPr>
        <w:jc w:val="both"/>
        <w:rPr>
          <w:i/>
        </w:rPr>
      </w:pPr>
    </w:p>
    <w:p w14:paraId="6506432A" w14:textId="4A2692C1" w:rsidR="00B11699" w:rsidRPr="00B11699" w:rsidRDefault="00132B03" w:rsidP="00B11699">
      <w:pPr>
        <w:jc w:val="both"/>
        <w:rPr>
          <w:i/>
        </w:rPr>
      </w:pPr>
      <w:r>
        <w:rPr>
          <w:i/>
        </w:rPr>
        <w:t>Action:</w:t>
      </w:r>
      <w:r w:rsidR="00B11699" w:rsidRPr="00B11699">
        <w:rPr>
          <w:i/>
        </w:rPr>
        <w:t xml:space="preserve"> Next meeting come back with good practice details. Sonya will provide for Farming. </w:t>
      </w:r>
    </w:p>
    <w:p w14:paraId="23886999" w14:textId="77777777" w:rsidR="007A2CB7" w:rsidRDefault="007A2CB7" w:rsidP="00BA55F9">
      <w:pPr>
        <w:jc w:val="both"/>
      </w:pPr>
    </w:p>
    <w:p w14:paraId="11644B91" w14:textId="0EDC99F7" w:rsidR="0074202F" w:rsidRDefault="0074202F" w:rsidP="00BA55F9">
      <w:pPr>
        <w:jc w:val="both"/>
      </w:pPr>
      <w:r>
        <w:t>Next meeting – continue working through recommendations.</w:t>
      </w:r>
    </w:p>
    <w:p w14:paraId="4C19B5E7" w14:textId="77777777" w:rsidR="0074202F" w:rsidRDefault="0074202F" w:rsidP="00BA55F9">
      <w:pPr>
        <w:jc w:val="both"/>
      </w:pPr>
    </w:p>
    <w:p w14:paraId="6FCD54A9" w14:textId="77777777" w:rsidR="0090454C" w:rsidRPr="0090454C" w:rsidRDefault="0090454C" w:rsidP="00BA55F9">
      <w:pPr>
        <w:jc w:val="both"/>
        <w:rPr>
          <w:b/>
        </w:rPr>
      </w:pPr>
      <w:r w:rsidRPr="0090454C">
        <w:rPr>
          <w:b/>
        </w:rPr>
        <w:t>Meeting Closed</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028"/>
      </w:tblGrid>
      <w:tr w:rsidR="00C12FCF" w:rsidRPr="00813648" w14:paraId="30837E06" w14:textId="77777777" w:rsidTr="00C13095">
        <w:tc>
          <w:tcPr>
            <w:tcW w:w="8028" w:type="dxa"/>
          </w:tcPr>
          <w:p w14:paraId="3335C2EB" w14:textId="77777777" w:rsidR="00C12FCF" w:rsidRPr="00813648" w:rsidRDefault="00C12FCF" w:rsidP="00CF5A54">
            <w:pPr>
              <w:rPr>
                <w:sz w:val="20"/>
                <w:szCs w:val="20"/>
              </w:rPr>
            </w:pPr>
          </w:p>
        </w:tc>
      </w:tr>
      <w:tr w:rsidR="0090454C" w:rsidRPr="00813648" w14:paraId="25C4EB84" w14:textId="77777777" w:rsidTr="00C13095">
        <w:tc>
          <w:tcPr>
            <w:tcW w:w="8028" w:type="dxa"/>
          </w:tcPr>
          <w:p w14:paraId="3F867F0D" w14:textId="77777777" w:rsidR="0090454C" w:rsidRPr="00610E9F" w:rsidRDefault="0090454C" w:rsidP="00CF5A54">
            <w:pPr>
              <w:rPr>
                <w:b/>
              </w:rPr>
            </w:pPr>
          </w:p>
        </w:tc>
      </w:tr>
    </w:tbl>
    <w:p w14:paraId="0E8BFFF9" w14:textId="77777777" w:rsidR="00F008B0" w:rsidRPr="00F008B0" w:rsidRDefault="00F008B0" w:rsidP="004E4A63"/>
    <w:sectPr w:rsidR="00F008B0" w:rsidRPr="00F008B0" w:rsidSect="00B1227F">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FA6"/>
    <w:multiLevelType w:val="hybridMultilevel"/>
    <w:tmpl w:val="8FB6D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91653"/>
    <w:multiLevelType w:val="hybridMultilevel"/>
    <w:tmpl w:val="20F6F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967032"/>
    <w:multiLevelType w:val="hybridMultilevel"/>
    <w:tmpl w:val="AAECA0AE"/>
    <w:lvl w:ilvl="0" w:tplc="6F906A06">
      <w:numFmt w:val="bullet"/>
      <w:lvlText w:val="-"/>
      <w:lvlJc w:val="left"/>
      <w:pPr>
        <w:ind w:left="720" w:hanging="360"/>
      </w:pPr>
      <w:rPr>
        <w:rFonts w:ascii="Calibri" w:eastAsiaTheme="minorHAnsi" w:hAnsi="Calibri" w:cs="Calibri" w:hint="default"/>
      </w:rPr>
    </w:lvl>
    <w:lvl w:ilvl="1" w:tplc="9CACEF56">
      <w:numFmt w:val="bullet"/>
      <w:lvlText w:val=""/>
      <w:lvlJc w:val="left"/>
      <w:pPr>
        <w:ind w:left="1800" w:hanging="720"/>
      </w:pPr>
      <w:rPr>
        <w:rFonts w:ascii="Symbol" w:eastAsiaTheme="minorHAnsi" w:hAnsi="Symbol"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19471E"/>
    <w:multiLevelType w:val="hybridMultilevel"/>
    <w:tmpl w:val="35DCA5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DC07FD"/>
    <w:multiLevelType w:val="hybridMultilevel"/>
    <w:tmpl w:val="66B0D64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276C0879"/>
    <w:multiLevelType w:val="hybridMultilevel"/>
    <w:tmpl w:val="1332C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BF50DD"/>
    <w:multiLevelType w:val="hybridMultilevel"/>
    <w:tmpl w:val="04BABD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6AB0F65"/>
    <w:multiLevelType w:val="hybridMultilevel"/>
    <w:tmpl w:val="ADD66B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3D48350C"/>
    <w:multiLevelType w:val="hybridMultilevel"/>
    <w:tmpl w:val="8E049214"/>
    <w:lvl w:ilvl="0" w:tplc="1AE41C8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AA2BE1"/>
    <w:multiLevelType w:val="hybridMultilevel"/>
    <w:tmpl w:val="2A009F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A04EB2"/>
    <w:multiLevelType w:val="hybridMultilevel"/>
    <w:tmpl w:val="966085A4"/>
    <w:lvl w:ilvl="0" w:tplc="6F906A0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9685F87"/>
    <w:multiLevelType w:val="hybridMultilevel"/>
    <w:tmpl w:val="F544E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26401E1"/>
    <w:multiLevelType w:val="hybridMultilevel"/>
    <w:tmpl w:val="708AE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C44D6B"/>
    <w:multiLevelType w:val="hybridMultilevel"/>
    <w:tmpl w:val="E77E87A6"/>
    <w:lvl w:ilvl="0" w:tplc="6F906A0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9A26F1"/>
    <w:multiLevelType w:val="hybridMultilevel"/>
    <w:tmpl w:val="4AD0851A"/>
    <w:lvl w:ilvl="0" w:tplc="C7F6D120">
      <w:start w:val="1"/>
      <w:numFmt w:val="bullet"/>
      <w:lvlText w:val=""/>
      <w:lvlJc w:val="left"/>
      <w:pPr>
        <w:tabs>
          <w:tab w:val="num" w:pos="720"/>
        </w:tabs>
        <w:ind w:left="720" w:hanging="360"/>
      </w:pPr>
      <w:rPr>
        <w:rFonts w:ascii="Wingdings 3" w:hAnsi="Wingdings 3" w:hint="default"/>
      </w:rPr>
    </w:lvl>
    <w:lvl w:ilvl="1" w:tplc="47E6A0E6" w:tentative="1">
      <w:start w:val="1"/>
      <w:numFmt w:val="bullet"/>
      <w:lvlText w:val=""/>
      <w:lvlJc w:val="left"/>
      <w:pPr>
        <w:tabs>
          <w:tab w:val="num" w:pos="1440"/>
        </w:tabs>
        <w:ind w:left="1440" w:hanging="360"/>
      </w:pPr>
      <w:rPr>
        <w:rFonts w:ascii="Wingdings 3" w:hAnsi="Wingdings 3" w:hint="default"/>
      </w:rPr>
    </w:lvl>
    <w:lvl w:ilvl="2" w:tplc="164E1E1A" w:tentative="1">
      <w:start w:val="1"/>
      <w:numFmt w:val="bullet"/>
      <w:lvlText w:val=""/>
      <w:lvlJc w:val="left"/>
      <w:pPr>
        <w:tabs>
          <w:tab w:val="num" w:pos="2160"/>
        </w:tabs>
        <w:ind w:left="2160" w:hanging="360"/>
      </w:pPr>
      <w:rPr>
        <w:rFonts w:ascii="Wingdings 3" w:hAnsi="Wingdings 3" w:hint="default"/>
      </w:rPr>
    </w:lvl>
    <w:lvl w:ilvl="3" w:tplc="3DC89600" w:tentative="1">
      <w:start w:val="1"/>
      <w:numFmt w:val="bullet"/>
      <w:lvlText w:val=""/>
      <w:lvlJc w:val="left"/>
      <w:pPr>
        <w:tabs>
          <w:tab w:val="num" w:pos="2880"/>
        </w:tabs>
        <w:ind w:left="2880" w:hanging="360"/>
      </w:pPr>
      <w:rPr>
        <w:rFonts w:ascii="Wingdings 3" w:hAnsi="Wingdings 3" w:hint="default"/>
      </w:rPr>
    </w:lvl>
    <w:lvl w:ilvl="4" w:tplc="03CAC774" w:tentative="1">
      <w:start w:val="1"/>
      <w:numFmt w:val="bullet"/>
      <w:lvlText w:val=""/>
      <w:lvlJc w:val="left"/>
      <w:pPr>
        <w:tabs>
          <w:tab w:val="num" w:pos="3600"/>
        </w:tabs>
        <w:ind w:left="3600" w:hanging="360"/>
      </w:pPr>
      <w:rPr>
        <w:rFonts w:ascii="Wingdings 3" w:hAnsi="Wingdings 3" w:hint="default"/>
      </w:rPr>
    </w:lvl>
    <w:lvl w:ilvl="5" w:tplc="4498EEA8" w:tentative="1">
      <w:start w:val="1"/>
      <w:numFmt w:val="bullet"/>
      <w:lvlText w:val=""/>
      <w:lvlJc w:val="left"/>
      <w:pPr>
        <w:tabs>
          <w:tab w:val="num" w:pos="4320"/>
        </w:tabs>
        <w:ind w:left="4320" w:hanging="360"/>
      </w:pPr>
      <w:rPr>
        <w:rFonts w:ascii="Wingdings 3" w:hAnsi="Wingdings 3" w:hint="default"/>
      </w:rPr>
    </w:lvl>
    <w:lvl w:ilvl="6" w:tplc="4802C418" w:tentative="1">
      <w:start w:val="1"/>
      <w:numFmt w:val="bullet"/>
      <w:lvlText w:val=""/>
      <w:lvlJc w:val="left"/>
      <w:pPr>
        <w:tabs>
          <w:tab w:val="num" w:pos="5040"/>
        </w:tabs>
        <w:ind w:left="5040" w:hanging="360"/>
      </w:pPr>
      <w:rPr>
        <w:rFonts w:ascii="Wingdings 3" w:hAnsi="Wingdings 3" w:hint="default"/>
      </w:rPr>
    </w:lvl>
    <w:lvl w:ilvl="7" w:tplc="69F67F56" w:tentative="1">
      <w:start w:val="1"/>
      <w:numFmt w:val="bullet"/>
      <w:lvlText w:val=""/>
      <w:lvlJc w:val="left"/>
      <w:pPr>
        <w:tabs>
          <w:tab w:val="num" w:pos="5760"/>
        </w:tabs>
        <w:ind w:left="5760" w:hanging="360"/>
      </w:pPr>
      <w:rPr>
        <w:rFonts w:ascii="Wingdings 3" w:hAnsi="Wingdings 3" w:hint="default"/>
      </w:rPr>
    </w:lvl>
    <w:lvl w:ilvl="8" w:tplc="66CE41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DA818C5"/>
    <w:multiLevelType w:val="hybridMultilevel"/>
    <w:tmpl w:val="0C9C241C"/>
    <w:lvl w:ilvl="0" w:tplc="6F906A06">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A813A5"/>
    <w:multiLevelType w:val="hybridMultilevel"/>
    <w:tmpl w:val="B5507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4"/>
  </w:num>
  <w:num w:numId="5">
    <w:abstractNumId w:val="3"/>
  </w:num>
  <w:num w:numId="6">
    <w:abstractNumId w:val="7"/>
  </w:num>
  <w:num w:numId="7">
    <w:abstractNumId w:val="11"/>
  </w:num>
  <w:num w:numId="8">
    <w:abstractNumId w:val="14"/>
  </w:num>
  <w:num w:numId="9">
    <w:abstractNumId w:val="8"/>
  </w:num>
  <w:num w:numId="10">
    <w:abstractNumId w:val="13"/>
  </w:num>
  <w:num w:numId="11">
    <w:abstractNumId w:val="10"/>
  </w:num>
  <w:num w:numId="12">
    <w:abstractNumId w:val="2"/>
  </w:num>
  <w:num w:numId="13">
    <w:abstractNumId w:val="15"/>
  </w:num>
  <w:num w:numId="14">
    <w:abstractNumId w:val="6"/>
  </w:num>
  <w:num w:numId="15">
    <w:abstractNumId w:val="12"/>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B0"/>
    <w:rsid w:val="00000FAE"/>
    <w:rsid w:val="00002668"/>
    <w:rsid w:val="00053191"/>
    <w:rsid w:val="0006034E"/>
    <w:rsid w:val="000606E4"/>
    <w:rsid w:val="0008674F"/>
    <w:rsid w:val="000869A7"/>
    <w:rsid w:val="000954DA"/>
    <w:rsid w:val="00097ADB"/>
    <w:rsid w:val="000B29A9"/>
    <w:rsid w:val="000B5658"/>
    <w:rsid w:val="000C5730"/>
    <w:rsid w:val="000C794B"/>
    <w:rsid w:val="000D4194"/>
    <w:rsid w:val="000D547F"/>
    <w:rsid w:val="000E24DC"/>
    <w:rsid w:val="000E63E7"/>
    <w:rsid w:val="000F6A0A"/>
    <w:rsid w:val="00101FC5"/>
    <w:rsid w:val="001068BD"/>
    <w:rsid w:val="00120B4C"/>
    <w:rsid w:val="001247BC"/>
    <w:rsid w:val="00127A87"/>
    <w:rsid w:val="00132B03"/>
    <w:rsid w:val="00133624"/>
    <w:rsid w:val="00137638"/>
    <w:rsid w:val="0014084C"/>
    <w:rsid w:val="00143602"/>
    <w:rsid w:val="00152AE2"/>
    <w:rsid w:val="00154C08"/>
    <w:rsid w:val="00166B81"/>
    <w:rsid w:val="00173000"/>
    <w:rsid w:val="00173D25"/>
    <w:rsid w:val="00173DC0"/>
    <w:rsid w:val="00181812"/>
    <w:rsid w:val="00183B36"/>
    <w:rsid w:val="0019113A"/>
    <w:rsid w:val="001922BE"/>
    <w:rsid w:val="00192877"/>
    <w:rsid w:val="001A2C54"/>
    <w:rsid w:val="001A3376"/>
    <w:rsid w:val="001B00EC"/>
    <w:rsid w:val="001B2A79"/>
    <w:rsid w:val="001D50AB"/>
    <w:rsid w:val="001F00FA"/>
    <w:rsid w:val="0023230D"/>
    <w:rsid w:val="00235F15"/>
    <w:rsid w:val="00242D7B"/>
    <w:rsid w:val="00254170"/>
    <w:rsid w:val="002669ED"/>
    <w:rsid w:val="00273BDF"/>
    <w:rsid w:val="002848D5"/>
    <w:rsid w:val="00295581"/>
    <w:rsid w:val="002A6A9C"/>
    <w:rsid w:val="002D243A"/>
    <w:rsid w:val="002D2CD1"/>
    <w:rsid w:val="002F59F8"/>
    <w:rsid w:val="002F688D"/>
    <w:rsid w:val="00304313"/>
    <w:rsid w:val="00322794"/>
    <w:rsid w:val="00326E46"/>
    <w:rsid w:val="00327E03"/>
    <w:rsid w:val="00327ED7"/>
    <w:rsid w:val="00332F6C"/>
    <w:rsid w:val="00333449"/>
    <w:rsid w:val="0034108A"/>
    <w:rsid w:val="003416EC"/>
    <w:rsid w:val="003427C8"/>
    <w:rsid w:val="00352F05"/>
    <w:rsid w:val="00376B19"/>
    <w:rsid w:val="00392CCC"/>
    <w:rsid w:val="003B3953"/>
    <w:rsid w:val="003B7CD0"/>
    <w:rsid w:val="003C17B3"/>
    <w:rsid w:val="003C23D4"/>
    <w:rsid w:val="003C6320"/>
    <w:rsid w:val="003C65F1"/>
    <w:rsid w:val="003D70E4"/>
    <w:rsid w:val="003E0AFD"/>
    <w:rsid w:val="003E1F9C"/>
    <w:rsid w:val="003E7448"/>
    <w:rsid w:val="003F0DD5"/>
    <w:rsid w:val="003F3DA2"/>
    <w:rsid w:val="00406762"/>
    <w:rsid w:val="00454A2C"/>
    <w:rsid w:val="00456CF6"/>
    <w:rsid w:val="00460353"/>
    <w:rsid w:val="00477A3A"/>
    <w:rsid w:val="00496369"/>
    <w:rsid w:val="004A1C8F"/>
    <w:rsid w:val="004B5806"/>
    <w:rsid w:val="004C1511"/>
    <w:rsid w:val="004C1767"/>
    <w:rsid w:val="004C1B10"/>
    <w:rsid w:val="004C54B5"/>
    <w:rsid w:val="004C7365"/>
    <w:rsid w:val="004C7B8C"/>
    <w:rsid w:val="004E0510"/>
    <w:rsid w:val="004E407D"/>
    <w:rsid w:val="004E4A63"/>
    <w:rsid w:val="004E6566"/>
    <w:rsid w:val="0051380C"/>
    <w:rsid w:val="0051763D"/>
    <w:rsid w:val="0054586B"/>
    <w:rsid w:val="00561F84"/>
    <w:rsid w:val="00580A49"/>
    <w:rsid w:val="00582FE4"/>
    <w:rsid w:val="005A23DB"/>
    <w:rsid w:val="005D20DD"/>
    <w:rsid w:val="005D5C6B"/>
    <w:rsid w:val="005F3DE4"/>
    <w:rsid w:val="006041DD"/>
    <w:rsid w:val="00610E9F"/>
    <w:rsid w:val="00611A61"/>
    <w:rsid w:val="006242E0"/>
    <w:rsid w:val="00626D30"/>
    <w:rsid w:val="006353F5"/>
    <w:rsid w:val="006379EC"/>
    <w:rsid w:val="00651D7C"/>
    <w:rsid w:val="0065537E"/>
    <w:rsid w:val="00664BFE"/>
    <w:rsid w:val="00665086"/>
    <w:rsid w:val="00670286"/>
    <w:rsid w:val="0067535C"/>
    <w:rsid w:val="0068165A"/>
    <w:rsid w:val="00697C40"/>
    <w:rsid w:val="006A159C"/>
    <w:rsid w:val="006B2403"/>
    <w:rsid w:val="006B7606"/>
    <w:rsid w:val="006D71CC"/>
    <w:rsid w:val="006D7D14"/>
    <w:rsid w:val="006E20D7"/>
    <w:rsid w:val="006E54E6"/>
    <w:rsid w:val="007156C8"/>
    <w:rsid w:val="0074202F"/>
    <w:rsid w:val="0075423E"/>
    <w:rsid w:val="0075469D"/>
    <w:rsid w:val="00755AA6"/>
    <w:rsid w:val="00763D75"/>
    <w:rsid w:val="00787E78"/>
    <w:rsid w:val="00792CBB"/>
    <w:rsid w:val="0079555C"/>
    <w:rsid w:val="007A2CB7"/>
    <w:rsid w:val="007A5A20"/>
    <w:rsid w:val="007B4CB2"/>
    <w:rsid w:val="007C2331"/>
    <w:rsid w:val="007C7FD9"/>
    <w:rsid w:val="007F0473"/>
    <w:rsid w:val="007F7432"/>
    <w:rsid w:val="00801755"/>
    <w:rsid w:val="00825049"/>
    <w:rsid w:val="00832F3A"/>
    <w:rsid w:val="008344B2"/>
    <w:rsid w:val="0085151B"/>
    <w:rsid w:val="00857954"/>
    <w:rsid w:val="00866DE1"/>
    <w:rsid w:val="00883EF6"/>
    <w:rsid w:val="00885D3E"/>
    <w:rsid w:val="00891992"/>
    <w:rsid w:val="008A3DE2"/>
    <w:rsid w:val="008B7102"/>
    <w:rsid w:val="008D2112"/>
    <w:rsid w:val="008D76BB"/>
    <w:rsid w:val="008E1378"/>
    <w:rsid w:val="008F0FEC"/>
    <w:rsid w:val="008F496D"/>
    <w:rsid w:val="0090454C"/>
    <w:rsid w:val="00904BD4"/>
    <w:rsid w:val="009142E5"/>
    <w:rsid w:val="0093519C"/>
    <w:rsid w:val="009520B6"/>
    <w:rsid w:val="00952DF7"/>
    <w:rsid w:val="00996FBE"/>
    <w:rsid w:val="00997F0D"/>
    <w:rsid w:val="009C3067"/>
    <w:rsid w:val="009C47E4"/>
    <w:rsid w:val="009D2F6B"/>
    <w:rsid w:val="009D65F6"/>
    <w:rsid w:val="009E1033"/>
    <w:rsid w:val="009F02D7"/>
    <w:rsid w:val="009F03AA"/>
    <w:rsid w:val="00A06939"/>
    <w:rsid w:val="00A506BF"/>
    <w:rsid w:val="00A512E0"/>
    <w:rsid w:val="00A6511E"/>
    <w:rsid w:val="00A7195B"/>
    <w:rsid w:val="00A81A2F"/>
    <w:rsid w:val="00A84B16"/>
    <w:rsid w:val="00A861A9"/>
    <w:rsid w:val="00A94CEB"/>
    <w:rsid w:val="00AC492A"/>
    <w:rsid w:val="00AD0094"/>
    <w:rsid w:val="00AD35E9"/>
    <w:rsid w:val="00AE33C5"/>
    <w:rsid w:val="00AF1619"/>
    <w:rsid w:val="00AF6334"/>
    <w:rsid w:val="00B04A7F"/>
    <w:rsid w:val="00B11699"/>
    <w:rsid w:val="00B1227F"/>
    <w:rsid w:val="00B224C7"/>
    <w:rsid w:val="00B241A8"/>
    <w:rsid w:val="00B34BC9"/>
    <w:rsid w:val="00B6078F"/>
    <w:rsid w:val="00B60C29"/>
    <w:rsid w:val="00B61158"/>
    <w:rsid w:val="00B65F96"/>
    <w:rsid w:val="00B76828"/>
    <w:rsid w:val="00B918EE"/>
    <w:rsid w:val="00B9258A"/>
    <w:rsid w:val="00BA0AE9"/>
    <w:rsid w:val="00BA55F9"/>
    <w:rsid w:val="00BB7B96"/>
    <w:rsid w:val="00BD2D17"/>
    <w:rsid w:val="00BD3E23"/>
    <w:rsid w:val="00BD4B5C"/>
    <w:rsid w:val="00BE0DA1"/>
    <w:rsid w:val="00BE25D7"/>
    <w:rsid w:val="00BE3DA7"/>
    <w:rsid w:val="00BE6C9E"/>
    <w:rsid w:val="00BF1B9F"/>
    <w:rsid w:val="00C031F7"/>
    <w:rsid w:val="00C050B1"/>
    <w:rsid w:val="00C12FCF"/>
    <w:rsid w:val="00C13095"/>
    <w:rsid w:val="00C2787A"/>
    <w:rsid w:val="00C35173"/>
    <w:rsid w:val="00C36522"/>
    <w:rsid w:val="00C3668E"/>
    <w:rsid w:val="00C4045A"/>
    <w:rsid w:val="00C50DCA"/>
    <w:rsid w:val="00C51232"/>
    <w:rsid w:val="00C561B8"/>
    <w:rsid w:val="00C65DC5"/>
    <w:rsid w:val="00C70C83"/>
    <w:rsid w:val="00C76A8A"/>
    <w:rsid w:val="00C95F90"/>
    <w:rsid w:val="00CA2DF6"/>
    <w:rsid w:val="00CA73A7"/>
    <w:rsid w:val="00CB1784"/>
    <w:rsid w:val="00CC56F6"/>
    <w:rsid w:val="00CD3758"/>
    <w:rsid w:val="00CE08D1"/>
    <w:rsid w:val="00CF1ECB"/>
    <w:rsid w:val="00CF3027"/>
    <w:rsid w:val="00CF5A54"/>
    <w:rsid w:val="00D1205A"/>
    <w:rsid w:val="00D13707"/>
    <w:rsid w:val="00D27822"/>
    <w:rsid w:val="00D27B1D"/>
    <w:rsid w:val="00D307D8"/>
    <w:rsid w:val="00D37AEF"/>
    <w:rsid w:val="00D457BC"/>
    <w:rsid w:val="00D50E42"/>
    <w:rsid w:val="00D63A02"/>
    <w:rsid w:val="00D70801"/>
    <w:rsid w:val="00D70B64"/>
    <w:rsid w:val="00D72AFB"/>
    <w:rsid w:val="00D73F27"/>
    <w:rsid w:val="00D77260"/>
    <w:rsid w:val="00D80561"/>
    <w:rsid w:val="00D824EE"/>
    <w:rsid w:val="00D82F98"/>
    <w:rsid w:val="00D8455F"/>
    <w:rsid w:val="00D8590E"/>
    <w:rsid w:val="00D91ABE"/>
    <w:rsid w:val="00DA237E"/>
    <w:rsid w:val="00DE1431"/>
    <w:rsid w:val="00DE14FF"/>
    <w:rsid w:val="00DF1BEC"/>
    <w:rsid w:val="00E0654D"/>
    <w:rsid w:val="00E25941"/>
    <w:rsid w:val="00E31C9B"/>
    <w:rsid w:val="00E42F8E"/>
    <w:rsid w:val="00E43701"/>
    <w:rsid w:val="00E4767D"/>
    <w:rsid w:val="00E542FB"/>
    <w:rsid w:val="00E61B17"/>
    <w:rsid w:val="00E8073A"/>
    <w:rsid w:val="00E810AA"/>
    <w:rsid w:val="00E85F96"/>
    <w:rsid w:val="00E975F6"/>
    <w:rsid w:val="00EA1DBF"/>
    <w:rsid w:val="00EA4825"/>
    <w:rsid w:val="00ED27EF"/>
    <w:rsid w:val="00ED29EE"/>
    <w:rsid w:val="00ED6648"/>
    <w:rsid w:val="00EE7F48"/>
    <w:rsid w:val="00EF0D33"/>
    <w:rsid w:val="00EF61A9"/>
    <w:rsid w:val="00F008B0"/>
    <w:rsid w:val="00F201EC"/>
    <w:rsid w:val="00F333D0"/>
    <w:rsid w:val="00F46AA2"/>
    <w:rsid w:val="00F52797"/>
    <w:rsid w:val="00F57E3E"/>
    <w:rsid w:val="00F6698E"/>
    <w:rsid w:val="00F73673"/>
    <w:rsid w:val="00F80450"/>
    <w:rsid w:val="00F81CE6"/>
    <w:rsid w:val="00F84766"/>
    <w:rsid w:val="00F86017"/>
    <w:rsid w:val="00F92803"/>
    <w:rsid w:val="00FB1085"/>
    <w:rsid w:val="00FB1543"/>
    <w:rsid w:val="00FB1913"/>
    <w:rsid w:val="00FD14E7"/>
    <w:rsid w:val="00FE1D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883B0"/>
  <w15:docId w15:val="{CE8AAFAD-9A54-4AAD-9E74-62FA1DA3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ribe-street-address">
    <w:name w:val="tribe-street-address"/>
    <w:basedOn w:val="DefaultParagraphFont"/>
    <w:rsid w:val="001B00EC"/>
  </w:style>
  <w:style w:type="paragraph" w:styleId="BalloonText">
    <w:name w:val="Balloon Text"/>
    <w:basedOn w:val="Normal"/>
    <w:link w:val="BalloonTextChar"/>
    <w:uiPriority w:val="99"/>
    <w:semiHidden/>
    <w:unhideWhenUsed/>
    <w:rsid w:val="001B00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0EC"/>
    <w:rPr>
      <w:rFonts w:ascii="Segoe UI" w:hAnsi="Segoe UI" w:cs="Segoe UI"/>
      <w:sz w:val="18"/>
      <w:szCs w:val="18"/>
    </w:rPr>
  </w:style>
  <w:style w:type="paragraph" w:styleId="ListParagraph">
    <w:name w:val="List Paragraph"/>
    <w:basedOn w:val="Normal"/>
    <w:uiPriority w:val="34"/>
    <w:qFormat/>
    <w:rsid w:val="00BE0DA1"/>
    <w:pPr>
      <w:ind w:left="720"/>
      <w:contextualSpacing/>
    </w:pPr>
  </w:style>
  <w:style w:type="character" w:styleId="CommentReference">
    <w:name w:val="annotation reference"/>
    <w:basedOn w:val="DefaultParagraphFont"/>
    <w:uiPriority w:val="99"/>
    <w:semiHidden/>
    <w:unhideWhenUsed/>
    <w:rsid w:val="0014084C"/>
    <w:rPr>
      <w:sz w:val="16"/>
      <w:szCs w:val="16"/>
    </w:rPr>
  </w:style>
  <w:style w:type="paragraph" w:styleId="CommentText">
    <w:name w:val="annotation text"/>
    <w:basedOn w:val="Normal"/>
    <w:link w:val="CommentTextChar"/>
    <w:uiPriority w:val="99"/>
    <w:semiHidden/>
    <w:unhideWhenUsed/>
    <w:rsid w:val="0014084C"/>
    <w:pPr>
      <w:spacing w:line="240" w:lineRule="auto"/>
    </w:pPr>
    <w:rPr>
      <w:sz w:val="20"/>
      <w:szCs w:val="20"/>
    </w:rPr>
  </w:style>
  <w:style w:type="character" w:customStyle="1" w:styleId="CommentTextChar">
    <w:name w:val="Comment Text Char"/>
    <w:basedOn w:val="DefaultParagraphFont"/>
    <w:link w:val="CommentText"/>
    <w:uiPriority w:val="99"/>
    <w:semiHidden/>
    <w:rsid w:val="0014084C"/>
    <w:rPr>
      <w:sz w:val="20"/>
      <w:szCs w:val="20"/>
    </w:rPr>
  </w:style>
  <w:style w:type="paragraph" w:styleId="CommentSubject">
    <w:name w:val="annotation subject"/>
    <w:basedOn w:val="CommentText"/>
    <w:next w:val="CommentText"/>
    <w:link w:val="CommentSubjectChar"/>
    <w:uiPriority w:val="99"/>
    <w:semiHidden/>
    <w:unhideWhenUsed/>
    <w:rsid w:val="0014084C"/>
    <w:rPr>
      <w:b/>
      <w:bCs/>
    </w:rPr>
  </w:style>
  <w:style w:type="character" w:customStyle="1" w:styleId="CommentSubjectChar">
    <w:name w:val="Comment Subject Char"/>
    <w:basedOn w:val="CommentTextChar"/>
    <w:link w:val="CommentSubject"/>
    <w:uiPriority w:val="99"/>
    <w:semiHidden/>
    <w:rsid w:val="0014084C"/>
    <w:rPr>
      <w:b/>
      <w:bCs/>
      <w:sz w:val="20"/>
      <w:szCs w:val="20"/>
    </w:rPr>
  </w:style>
  <w:style w:type="character" w:styleId="Hyperlink">
    <w:name w:val="Hyperlink"/>
    <w:basedOn w:val="DefaultParagraphFont"/>
    <w:uiPriority w:val="99"/>
    <w:unhideWhenUsed/>
    <w:rsid w:val="00F57E3E"/>
    <w:rPr>
      <w:color w:val="0563C1" w:themeColor="hyperlink"/>
      <w:u w:val="single"/>
    </w:rPr>
  </w:style>
  <w:style w:type="table" w:styleId="TableGrid">
    <w:name w:val="Table Grid"/>
    <w:basedOn w:val="TableNormal"/>
    <w:uiPriority w:val="59"/>
    <w:rsid w:val="0069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0401">
      <w:bodyDiv w:val="1"/>
      <w:marLeft w:val="0"/>
      <w:marRight w:val="0"/>
      <w:marTop w:val="0"/>
      <w:marBottom w:val="0"/>
      <w:divBdr>
        <w:top w:val="none" w:sz="0" w:space="0" w:color="auto"/>
        <w:left w:val="none" w:sz="0" w:space="0" w:color="auto"/>
        <w:bottom w:val="none" w:sz="0" w:space="0" w:color="auto"/>
        <w:right w:val="none" w:sz="0" w:space="0" w:color="auto"/>
      </w:divBdr>
    </w:div>
    <w:div w:id="87773362">
      <w:bodyDiv w:val="1"/>
      <w:marLeft w:val="0"/>
      <w:marRight w:val="0"/>
      <w:marTop w:val="0"/>
      <w:marBottom w:val="0"/>
      <w:divBdr>
        <w:top w:val="none" w:sz="0" w:space="0" w:color="auto"/>
        <w:left w:val="none" w:sz="0" w:space="0" w:color="auto"/>
        <w:bottom w:val="none" w:sz="0" w:space="0" w:color="auto"/>
        <w:right w:val="none" w:sz="0" w:space="0" w:color="auto"/>
      </w:divBdr>
    </w:div>
    <w:div w:id="120391665">
      <w:bodyDiv w:val="1"/>
      <w:marLeft w:val="0"/>
      <w:marRight w:val="0"/>
      <w:marTop w:val="0"/>
      <w:marBottom w:val="0"/>
      <w:divBdr>
        <w:top w:val="none" w:sz="0" w:space="0" w:color="auto"/>
        <w:left w:val="none" w:sz="0" w:space="0" w:color="auto"/>
        <w:bottom w:val="none" w:sz="0" w:space="0" w:color="auto"/>
        <w:right w:val="none" w:sz="0" w:space="0" w:color="auto"/>
      </w:divBdr>
      <w:divsChild>
        <w:div w:id="1113283156">
          <w:marLeft w:val="547"/>
          <w:marRight w:val="0"/>
          <w:marTop w:val="200"/>
          <w:marBottom w:val="0"/>
          <w:divBdr>
            <w:top w:val="none" w:sz="0" w:space="0" w:color="auto"/>
            <w:left w:val="none" w:sz="0" w:space="0" w:color="auto"/>
            <w:bottom w:val="none" w:sz="0" w:space="0" w:color="auto"/>
            <w:right w:val="none" w:sz="0" w:space="0" w:color="auto"/>
          </w:divBdr>
        </w:div>
        <w:div w:id="1809937780">
          <w:marLeft w:val="547"/>
          <w:marRight w:val="0"/>
          <w:marTop w:val="200"/>
          <w:marBottom w:val="0"/>
          <w:divBdr>
            <w:top w:val="none" w:sz="0" w:space="0" w:color="auto"/>
            <w:left w:val="none" w:sz="0" w:space="0" w:color="auto"/>
            <w:bottom w:val="none" w:sz="0" w:space="0" w:color="auto"/>
            <w:right w:val="none" w:sz="0" w:space="0" w:color="auto"/>
          </w:divBdr>
        </w:div>
        <w:div w:id="3362742">
          <w:marLeft w:val="547"/>
          <w:marRight w:val="0"/>
          <w:marTop w:val="200"/>
          <w:marBottom w:val="0"/>
          <w:divBdr>
            <w:top w:val="none" w:sz="0" w:space="0" w:color="auto"/>
            <w:left w:val="none" w:sz="0" w:space="0" w:color="auto"/>
            <w:bottom w:val="none" w:sz="0" w:space="0" w:color="auto"/>
            <w:right w:val="none" w:sz="0" w:space="0" w:color="auto"/>
          </w:divBdr>
        </w:div>
      </w:divsChild>
    </w:div>
    <w:div w:id="194850653">
      <w:bodyDiv w:val="1"/>
      <w:marLeft w:val="0"/>
      <w:marRight w:val="0"/>
      <w:marTop w:val="0"/>
      <w:marBottom w:val="0"/>
      <w:divBdr>
        <w:top w:val="none" w:sz="0" w:space="0" w:color="auto"/>
        <w:left w:val="none" w:sz="0" w:space="0" w:color="auto"/>
        <w:bottom w:val="none" w:sz="0" w:space="0" w:color="auto"/>
        <w:right w:val="none" w:sz="0" w:space="0" w:color="auto"/>
      </w:divBdr>
    </w:div>
    <w:div w:id="304744712">
      <w:bodyDiv w:val="1"/>
      <w:marLeft w:val="0"/>
      <w:marRight w:val="0"/>
      <w:marTop w:val="0"/>
      <w:marBottom w:val="0"/>
      <w:divBdr>
        <w:top w:val="none" w:sz="0" w:space="0" w:color="auto"/>
        <w:left w:val="none" w:sz="0" w:space="0" w:color="auto"/>
        <w:bottom w:val="none" w:sz="0" w:space="0" w:color="auto"/>
        <w:right w:val="none" w:sz="0" w:space="0" w:color="auto"/>
      </w:divBdr>
    </w:div>
    <w:div w:id="366487640">
      <w:bodyDiv w:val="1"/>
      <w:marLeft w:val="0"/>
      <w:marRight w:val="0"/>
      <w:marTop w:val="0"/>
      <w:marBottom w:val="0"/>
      <w:divBdr>
        <w:top w:val="none" w:sz="0" w:space="0" w:color="auto"/>
        <w:left w:val="none" w:sz="0" w:space="0" w:color="auto"/>
        <w:bottom w:val="none" w:sz="0" w:space="0" w:color="auto"/>
        <w:right w:val="none" w:sz="0" w:space="0" w:color="auto"/>
      </w:divBdr>
    </w:div>
    <w:div w:id="496653763">
      <w:bodyDiv w:val="1"/>
      <w:marLeft w:val="0"/>
      <w:marRight w:val="0"/>
      <w:marTop w:val="0"/>
      <w:marBottom w:val="0"/>
      <w:divBdr>
        <w:top w:val="none" w:sz="0" w:space="0" w:color="auto"/>
        <w:left w:val="none" w:sz="0" w:space="0" w:color="auto"/>
        <w:bottom w:val="none" w:sz="0" w:space="0" w:color="auto"/>
        <w:right w:val="none" w:sz="0" w:space="0" w:color="auto"/>
      </w:divBdr>
    </w:div>
    <w:div w:id="863056790">
      <w:bodyDiv w:val="1"/>
      <w:marLeft w:val="0"/>
      <w:marRight w:val="0"/>
      <w:marTop w:val="0"/>
      <w:marBottom w:val="0"/>
      <w:divBdr>
        <w:top w:val="none" w:sz="0" w:space="0" w:color="auto"/>
        <w:left w:val="none" w:sz="0" w:space="0" w:color="auto"/>
        <w:bottom w:val="none" w:sz="0" w:space="0" w:color="auto"/>
        <w:right w:val="none" w:sz="0" w:space="0" w:color="auto"/>
      </w:divBdr>
    </w:div>
    <w:div w:id="979186446">
      <w:bodyDiv w:val="1"/>
      <w:marLeft w:val="0"/>
      <w:marRight w:val="0"/>
      <w:marTop w:val="0"/>
      <w:marBottom w:val="0"/>
      <w:divBdr>
        <w:top w:val="none" w:sz="0" w:space="0" w:color="auto"/>
        <w:left w:val="none" w:sz="0" w:space="0" w:color="auto"/>
        <w:bottom w:val="none" w:sz="0" w:space="0" w:color="auto"/>
        <w:right w:val="none" w:sz="0" w:space="0" w:color="auto"/>
      </w:divBdr>
    </w:div>
    <w:div w:id="1369407046">
      <w:bodyDiv w:val="1"/>
      <w:marLeft w:val="0"/>
      <w:marRight w:val="0"/>
      <w:marTop w:val="0"/>
      <w:marBottom w:val="0"/>
      <w:divBdr>
        <w:top w:val="none" w:sz="0" w:space="0" w:color="auto"/>
        <w:left w:val="none" w:sz="0" w:space="0" w:color="auto"/>
        <w:bottom w:val="none" w:sz="0" w:space="0" w:color="auto"/>
        <w:right w:val="none" w:sz="0" w:space="0" w:color="auto"/>
      </w:divBdr>
    </w:div>
    <w:div w:id="1906255991">
      <w:bodyDiv w:val="1"/>
      <w:marLeft w:val="0"/>
      <w:marRight w:val="0"/>
      <w:marTop w:val="0"/>
      <w:marBottom w:val="0"/>
      <w:divBdr>
        <w:top w:val="none" w:sz="0" w:space="0" w:color="auto"/>
        <w:left w:val="none" w:sz="0" w:space="0" w:color="auto"/>
        <w:bottom w:val="none" w:sz="0" w:space="0" w:color="auto"/>
        <w:right w:val="none" w:sz="0" w:space="0" w:color="auto"/>
      </w:divBdr>
    </w:div>
    <w:div w:id="1925608486">
      <w:bodyDiv w:val="1"/>
      <w:marLeft w:val="0"/>
      <w:marRight w:val="0"/>
      <w:marTop w:val="0"/>
      <w:marBottom w:val="0"/>
      <w:divBdr>
        <w:top w:val="none" w:sz="0" w:space="0" w:color="auto"/>
        <w:left w:val="none" w:sz="0" w:space="0" w:color="auto"/>
        <w:bottom w:val="none" w:sz="0" w:space="0" w:color="auto"/>
        <w:right w:val="none" w:sz="0" w:space="0" w:color="auto"/>
      </w:divBdr>
    </w:div>
    <w:div w:id="205608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pi.govt.nz/growing-and-harvesting/forestry/national-environmental-standards-for-plantation-for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68A6-62CB-4BC4-B0C2-AC4FF758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Beaumont</dc:creator>
  <cp:lastModifiedBy>Edith Bretherton</cp:lastModifiedBy>
  <cp:revision>9</cp:revision>
  <dcterms:created xsi:type="dcterms:W3CDTF">2020-01-30T01:29:00Z</dcterms:created>
  <dcterms:modified xsi:type="dcterms:W3CDTF">2020-02-03T19:28:00Z</dcterms:modified>
</cp:coreProperties>
</file>