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FDE7" w14:textId="025C6891" w:rsidR="00CF28DD" w:rsidRDefault="00CF28DD" w:rsidP="00CF28DD">
      <w:pPr>
        <w:spacing w:after="0" w:line="240" w:lineRule="auto"/>
        <w:jc w:val="center"/>
        <w:rPr>
          <w:b/>
          <w:bCs/>
          <w:u w:val="single"/>
        </w:rPr>
      </w:pPr>
      <w:r>
        <w:rPr>
          <w:b/>
          <w:bCs/>
          <w:u w:val="single"/>
        </w:rPr>
        <w:t>THE WEST COAST REGIONAL COUNCIL</w:t>
      </w:r>
    </w:p>
    <w:p w14:paraId="6FD04209" w14:textId="4789A833" w:rsidR="00CF28DD" w:rsidRDefault="00CF28DD" w:rsidP="00CF28DD">
      <w:pPr>
        <w:spacing w:after="0" w:line="240" w:lineRule="auto"/>
        <w:jc w:val="center"/>
        <w:rPr>
          <w:b/>
          <w:bCs/>
        </w:rPr>
      </w:pPr>
      <w:r>
        <w:rPr>
          <w:b/>
          <w:bCs/>
        </w:rPr>
        <w:t xml:space="preserve"> MINUTES OF THE WEST COAST REGIONAL COUNCIL MEETING HELD ON 14 MARCH 2023 AT THE OFFICES OF THE WEST COAST REGIONAL COUNCIL 388 MAIN SOUTH ROAD, GREYMOUTH COMMENCING AT 1</w:t>
      </w:r>
      <w:r w:rsidR="004F0B28">
        <w:rPr>
          <w:b/>
          <w:bCs/>
        </w:rPr>
        <w:t>1.12</w:t>
      </w:r>
      <w:r>
        <w:rPr>
          <w:b/>
          <w:bCs/>
        </w:rPr>
        <w:t>AM</w:t>
      </w:r>
    </w:p>
    <w:p w14:paraId="2382392D" w14:textId="77777777" w:rsidR="00CF28DD" w:rsidRDefault="00CF28DD" w:rsidP="00CF28DD">
      <w:pPr>
        <w:spacing w:after="0" w:line="240" w:lineRule="auto"/>
        <w:jc w:val="both"/>
      </w:pPr>
    </w:p>
    <w:p w14:paraId="55D82805" w14:textId="77777777" w:rsidR="00CF28DD" w:rsidRPr="00EF22CD" w:rsidRDefault="00CF28DD" w:rsidP="00CF28DD">
      <w:pPr>
        <w:spacing w:after="0" w:line="240" w:lineRule="auto"/>
        <w:jc w:val="both"/>
        <w:rPr>
          <w:b/>
          <w:bCs/>
          <w:u w:val="single"/>
        </w:rPr>
      </w:pPr>
      <w:r w:rsidRPr="00EF22CD">
        <w:rPr>
          <w:b/>
          <w:bCs/>
          <w:u w:val="single"/>
        </w:rPr>
        <w:t>PRESENT:</w:t>
      </w:r>
    </w:p>
    <w:p w14:paraId="2E965559" w14:textId="1497DE34" w:rsidR="006577AF" w:rsidRDefault="00CF28DD" w:rsidP="00CF28DD">
      <w:pPr>
        <w:spacing w:after="0" w:line="240" w:lineRule="auto"/>
        <w:jc w:val="both"/>
      </w:pPr>
      <w:r>
        <w:t>P. Haddock (</w:t>
      </w:r>
      <w:r w:rsidR="00504DB8">
        <w:t xml:space="preserve">Deputy </w:t>
      </w:r>
      <w:r>
        <w:t xml:space="preserve">Chair), P. Ewen, B. Cummings, A. Campbell, M. McIntyre, F. Dooley, F. </w:t>
      </w:r>
      <w:proofErr w:type="spellStart"/>
      <w:r>
        <w:t>Tumahai</w:t>
      </w:r>
      <w:proofErr w:type="spellEnd"/>
      <w:r>
        <w:t xml:space="preserve"> (</w:t>
      </w:r>
      <w:proofErr w:type="spellStart"/>
      <w:r>
        <w:t>Te</w:t>
      </w:r>
      <w:proofErr w:type="spellEnd"/>
      <w:r>
        <w:t xml:space="preserve"> </w:t>
      </w:r>
      <w:proofErr w:type="spellStart"/>
      <w:r>
        <w:t>R</w:t>
      </w:r>
      <w:r>
        <w:rPr>
          <w:rFonts w:cstheme="minorHAnsi"/>
        </w:rPr>
        <w:t>ū</w:t>
      </w:r>
      <w:r>
        <w:t>nanga</w:t>
      </w:r>
      <w:proofErr w:type="spellEnd"/>
      <w:r>
        <w:t xml:space="preserve"> o Ng</w:t>
      </w:r>
      <w:r>
        <w:rPr>
          <w:rFonts w:cstheme="minorHAnsi"/>
        </w:rPr>
        <w:t>ā</w:t>
      </w:r>
      <w:r>
        <w:t xml:space="preserve">ti </w:t>
      </w:r>
      <w:proofErr w:type="spellStart"/>
      <w:r>
        <w:t>Waewae</w:t>
      </w:r>
      <w:proofErr w:type="spellEnd"/>
      <w:r>
        <w:t>)</w:t>
      </w:r>
      <w:r w:rsidR="006577AF">
        <w:t>.</w:t>
      </w:r>
    </w:p>
    <w:p w14:paraId="517542AF" w14:textId="77777777" w:rsidR="006577AF" w:rsidRDefault="006577AF" w:rsidP="00CF28DD">
      <w:pPr>
        <w:spacing w:after="0" w:line="240" w:lineRule="auto"/>
        <w:jc w:val="both"/>
      </w:pPr>
    </w:p>
    <w:p w14:paraId="7A68D8F6" w14:textId="58550A34" w:rsidR="00CF28DD" w:rsidRPr="00EF22CD" w:rsidRDefault="00CF28DD" w:rsidP="00CF28DD">
      <w:pPr>
        <w:spacing w:after="0" w:line="240" w:lineRule="auto"/>
        <w:jc w:val="both"/>
        <w:rPr>
          <w:b/>
          <w:bCs/>
          <w:u w:val="single"/>
        </w:rPr>
      </w:pPr>
      <w:r w:rsidRPr="00EF22CD">
        <w:rPr>
          <w:b/>
          <w:bCs/>
          <w:u w:val="single"/>
        </w:rPr>
        <w:t>IN ATTENDANCE:</w:t>
      </w:r>
    </w:p>
    <w:p w14:paraId="23585BDE" w14:textId="4A829800" w:rsidR="00CF28DD" w:rsidRDefault="00CF28DD" w:rsidP="00CF28DD">
      <w:pPr>
        <w:spacing w:after="0" w:line="240" w:lineRule="auto"/>
        <w:jc w:val="both"/>
      </w:pPr>
      <w:r>
        <w:t>H. Mabin (Chief Executive),</w:t>
      </w:r>
      <w:r w:rsidR="00D502E3">
        <w:t xml:space="preserve"> </w:t>
      </w:r>
      <w:r>
        <w:t xml:space="preserve">N. Costley (Strategy and Communications Manager), K. </w:t>
      </w:r>
      <w:proofErr w:type="spellStart"/>
      <w:r>
        <w:t>Harbrow</w:t>
      </w:r>
      <w:proofErr w:type="spellEnd"/>
      <w:r>
        <w:t xml:space="preserve"> (Acting Corporate Services Manager).                                                                                                                                                                                                                                </w:t>
      </w:r>
    </w:p>
    <w:p w14:paraId="2E682532" w14:textId="77777777" w:rsidR="00CF28DD" w:rsidRPr="00FD32A0" w:rsidRDefault="00CF28DD" w:rsidP="00504DB8">
      <w:pPr>
        <w:pStyle w:val="ListParagraph"/>
        <w:numPr>
          <w:ilvl w:val="0"/>
          <w:numId w:val="1"/>
        </w:numPr>
        <w:spacing w:before="120" w:after="120" w:line="240" w:lineRule="auto"/>
        <w:jc w:val="both"/>
        <w:rPr>
          <w:b/>
          <w:bCs/>
          <w:u w:val="single"/>
        </w:rPr>
      </w:pPr>
      <w:r w:rsidRPr="00FD32A0">
        <w:rPr>
          <w:b/>
          <w:bCs/>
          <w:u w:val="single"/>
        </w:rPr>
        <w:t>WELCOME:</w:t>
      </w:r>
    </w:p>
    <w:p w14:paraId="6C67B25F" w14:textId="5DF7FBB0" w:rsidR="00CF28DD" w:rsidRDefault="00504DB8" w:rsidP="00504DB8">
      <w:pPr>
        <w:spacing w:before="120" w:after="120" w:line="240" w:lineRule="auto"/>
        <w:jc w:val="both"/>
      </w:pPr>
      <w:r>
        <w:t xml:space="preserve">Deputy </w:t>
      </w:r>
      <w:r w:rsidR="00CF28DD">
        <w:t>Chair Haddock opened the meeting and read the prayer.</w:t>
      </w:r>
    </w:p>
    <w:p w14:paraId="786530AD" w14:textId="77777777" w:rsidR="00CF28DD" w:rsidRPr="00FD32A0" w:rsidRDefault="00CF28DD" w:rsidP="00504DB8">
      <w:pPr>
        <w:pStyle w:val="ListParagraph"/>
        <w:numPr>
          <w:ilvl w:val="0"/>
          <w:numId w:val="1"/>
        </w:numPr>
        <w:spacing w:before="120" w:after="120" w:line="240" w:lineRule="auto"/>
        <w:jc w:val="both"/>
        <w:rPr>
          <w:b/>
          <w:bCs/>
          <w:u w:val="single"/>
        </w:rPr>
      </w:pPr>
      <w:r w:rsidRPr="00FD32A0">
        <w:rPr>
          <w:b/>
          <w:bCs/>
          <w:u w:val="single"/>
        </w:rPr>
        <w:t>APOLOGIES:</w:t>
      </w:r>
    </w:p>
    <w:p w14:paraId="5D095362" w14:textId="425F846D" w:rsidR="00CF28DD" w:rsidRDefault="00CF28DD" w:rsidP="00504DB8">
      <w:pPr>
        <w:spacing w:before="120" w:after="120" w:line="240" w:lineRule="auto"/>
        <w:jc w:val="both"/>
      </w:pPr>
      <w:r>
        <w:t xml:space="preserve">The </w:t>
      </w:r>
      <w:r w:rsidR="00504DB8">
        <w:t xml:space="preserve">Deputy </w:t>
      </w:r>
      <w:r>
        <w:t>Chair called for apologies. C</w:t>
      </w:r>
      <w:r w:rsidR="00504DB8">
        <w:t>hai</w:t>
      </w:r>
      <w:r>
        <w:t>r A. Birchfield was an apology for the meeting.</w:t>
      </w:r>
    </w:p>
    <w:p w14:paraId="681E98ED" w14:textId="77777777" w:rsidR="00CF28DD" w:rsidRDefault="00CF28DD" w:rsidP="00504DB8">
      <w:pPr>
        <w:spacing w:before="120" w:after="0" w:line="240" w:lineRule="auto"/>
        <w:jc w:val="both"/>
        <w:rPr>
          <w:i/>
          <w:iCs/>
        </w:rPr>
      </w:pPr>
      <w:r>
        <w:rPr>
          <w:b/>
          <w:bCs/>
        </w:rPr>
        <w:t xml:space="preserve">Moved </w:t>
      </w:r>
      <w:r>
        <w:t>(P Haddock/</w:t>
      </w:r>
      <w:proofErr w:type="spellStart"/>
      <w:r>
        <w:t>M.McIntyre</w:t>
      </w:r>
      <w:proofErr w:type="spellEnd"/>
      <w:r>
        <w:t xml:space="preserve">) </w:t>
      </w:r>
      <w:r>
        <w:rPr>
          <w:i/>
          <w:iCs/>
        </w:rPr>
        <w:t>that the apology from A. Birchfield is accepted.</w:t>
      </w:r>
    </w:p>
    <w:p w14:paraId="78DD9E7A" w14:textId="77777777" w:rsidR="00CF28DD" w:rsidRDefault="00CF28DD" w:rsidP="00504DB8">
      <w:pPr>
        <w:spacing w:after="120" w:line="240" w:lineRule="auto"/>
        <w:jc w:val="right"/>
      </w:pPr>
      <w:r>
        <w:rPr>
          <w:i/>
          <w:iCs/>
        </w:rPr>
        <w:t>Carried</w:t>
      </w:r>
    </w:p>
    <w:p w14:paraId="7CEC9DD8" w14:textId="77777777" w:rsidR="00CF28DD" w:rsidRPr="00FD32A0" w:rsidRDefault="00CF28DD" w:rsidP="00504DB8">
      <w:pPr>
        <w:pStyle w:val="ListParagraph"/>
        <w:numPr>
          <w:ilvl w:val="0"/>
          <w:numId w:val="1"/>
        </w:numPr>
        <w:spacing w:before="120" w:after="120" w:line="240" w:lineRule="auto"/>
        <w:jc w:val="both"/>
        <w:rPr>
          <w:b/>
          <w:bCs/>
          <w:u w:val="single"/>
        </w:rPr>
      </w:pPr>
      <w:r>
        <w:rPr>
          <w:b/>
          <w:bCs/>
          <w:u w:val="single"/>
        </w:rPr>
        <w:t>Declarations of interest</w:t>
      </w:r>
    </w:p>
    <w:p w14:paraId="1C706068" w14:textId="77777777" w:rsidR="00CF28DD" w:rsidRDefault="00CF28DD" w:rsidP="00504DB8">
      <w:pPr>
        <w:spacing w:before="120" w:after="120" w:line="240" w:lineRule="auto"/>
        <w:jc w:val="both"/>
      </w:pPr>
      <w:r>
        <w:t>Cr McIntyre recorded an interest in Page 116 – Mineral Extraction – Tauranga Bay and</w:t>
      </w:r>
    </w:p>
    <w:p w14:paraId="1E2F2FDA" w14:textId="77D9C1FE" w:rsidR="00CF28DD" w:rsidRDefault="00CF28DD" w:rsidP="00504DB8">
      <w:pPr>
        <w:spacing w:before="120" w:after="120" w:line="240" w:lineRule="auto"/>
        <w:jc w:val="both"/>
      </w:pPr>
      <w:r>
        <w:t xml:space="preserve">Cr Campbell recorded an interest in the </w:t>
      </w:r>
      <w:proofErr w:type="spellStart"/>
      <w:r>
        <w:t>Waitaha</w:t>
      </w:r>
      <w:proofErr w:type="spellEnd"/>
      <w:r>
        <w:t xml:space="preserve"> River</w:t>
      </w:r>
    </w:p>
    <w:p w14:paraId="77F4217C" w14:textId="04239AED" w:rsidR="00D95DE6" w:rsidRDefault="00504DB8" w:rsidP="00504DB8">
      <w:pPr>
        <w:spacing w:before="120" w:after="120" w:line="240" w:lineRule="auto"/>
        <w:jc w:val="both"/>
      </w:pPr>
      <w:r>
        <w:t xml:space="preserve">Deputy </w:t>
      </w:r>
      <w:r w:rsidR="00D95DE6">
        <w:t xml:space="preserve">Chair Haddock recorded an interest in the </w:t>
      </w:r>
      <w:proofErr w:type="spellStart"/>
      <w:r w:rsidR="00D95DE6">
        <w:t>Waiho</w:t>
      </w:r>
      <w:proofErr w:type="spellEnd"/>
      <w:r w:rsidR="00D95DE6">
        <w:t xml:space="preserve"> Loop (tabled in Public Excluded)</w:t>
      </w:r>
    </w:p>
    <w:p w14:paraId="54C41212" w14:textId="77777777" w:rsidR="00CF28DD" w:rsidRPr="00FD32A0" w:rsidRDefault="00CF28DD" w:rsidP="00504DB8">
      <w:pPr>
        <w:pStyle w:val="ListParagraph"/>
        <w:numPr>
          <w:ilvl w:val="0"/>
          <w:numId w:val="1"/>
        </w:numPr>
        <w:spacing w:before="120" w:after="120" w:line="240" w:lineRule="auto"/>
        <w:jc w:val="both"/>
        <w:rPr>
          <w:b/>
          <w:bCs/>
          <w:u w:val="single"/>
        </w:rPr>
      </w:pPr>
      <w:r w:rsidRPr="00FD32A0">
        <w:rPr>
          <w:b/>
          <w:bCs/>
          <w:u w:val="single"/>
        </w:rPr>
        <w:t>PUBLIC FORUM, PETITIONS AND DEPUTATIONS</w:t>
      </w:r>
    </w:p>
    <w:p w14:paraId="00F62BBD" w14:textId="77777777" w:rsidR="00CF28DD" w:rsidRDefault="00CF28DD" w:rsidP="00504DB8">
      <w:pPr>
        <w:spacing w:before="120" w:after="120" w:line="240" w:lineRule="auto"/>
        <w:jc w:val="both"/>
      </w:pPr>
      <w:r>
        <w:t xml:space="preserve">There were no public forum, </w:t>
      </w:r>
      <w:proofErr w:type="gramStart"/>
      <w:r>
        <w:t>petitions</w:t>
      </w:r>
      <w:proofErr w:type="gramEnd"/>
      <w:r>
        <w:t xml:space="preserve"> or deputations.</w:t>
      </w:r>
    </w:p>
    <w:p w14:paraId="21549EE0" w14:textId="77777777" w:rsidR="00CF28DD" w:rsidRPr="00FD32A0" w:rsidRDefault="00CF28DD" w:rsidP="00504DB8">
      <w:pPr>
        <w:pStyle w:val="ListParagraph"/>
        <w:numPr>
          <w:ilvl w:val="0"/>
          <w:numId w:val="1"/>
        </w:numPr>
        <w:spacing w:before="120" w:after="120" w:line="240" w:lineRule="auto"/>
        <w:jc w:val="both"/>
        <w:rPr>
          <w:b/>
          <w:bCs/>
          <w:u w:val="single"/>
        </w:rPr>
      </w:pPr>
      <w:r>
        <w:rPr>
          <w:b/>
          <w:bCs/>
          <w:u w:val="single"/>
        </w:rPr>
        <w:t>Confirmation of Minutes</w:t>
      </w:r>
    </w:p>
    <w:p w14:paraId="465FC8D2" w14:textId="064DE193" w:rsidR="00CF28DD" w:rsidRPr="00CE0DFA" w:rsidRDefault="00CF28DD" w:rsidP="00504DB8">
      <w:pPr>
        <w:spacing w:before="120" w:after="120" w:line="240" w:lineRule="auto"/>
        <w:jc w:val="both"/>
      </w:pPr>
      <w:r>
        <w:t xml:space="preserve">The </w:t>
      </w:r>
      <w:r w:rsidR="00504DB8">
        <w:t xml:space="preserve">Deputy </w:t>
      </w:r>
      <w:r>
        <w:t>Chair called for any corrections to the minutes.  F. Dooley pointed out an error on the second Paragraph of</w:t>
      </w:r>
      <w:r w:rsidR="00D95DE6">
        <w:t xml:space="preserve"> Ms</w:t>
      </w:r>
      <w:r>
        <w:t xml:space="preserve"> </w:t>
      </w:r>
      <w:r w:rsidR="00766E35">
        <w:t>Thomson’s</w:t>
      </w:r>
      <w:r>
        <w:t xml:space="preserve"> Planning report.  The changed was noted by the minute secretary.</w:t>
      </w:r>
    </w:p>
    <w:p w14:paraId="40C0184E" w14:textId="77777777" w:rsidR="00CF28DD" w:rsidRDefault="00CF28DD" w:rsidP="00504DB8">
      <w:pPr>
        <w:spacing w:before="120" w:after="0" w:line="240" w:lineRule="auto"/>
        <w:jc w:val="both"/>
        <w:rPr>
          <w:i/>
          <w:iCs/>
        </w:rPr>
      </w:pPr>
      <w:r>
        <w:rPr>
          <w:b/>
          <w:bCs/>
        </w:rPr>
        <w:t xml:space="preserve">Moved </w:t>
      </w:r>
      <w:r>
        <w:t xml:space="preserve">(F. Dooley/M. McIntyre) </w:t>
      </w:r>
      <w:r>
        <w:rPr>
          <w:i/>
          <w:iCs/>
        </w:rPr>
        <w:t>that the minutes from 14 February 2023 are a true and correct record.</w:t>
      </w:r>
    </w:p>
    <w:p w14:paraId="247132F7" w14:textId="289178E1" w:rsidR="00CF28DD" w:rsidRDefault="00CF28DD" w:rsidP="00504DB8">
      <w:pPr>
        <w:spacing w:after="120" w:line="240" w:lineRule="auto"/>
        <w:jc w:val="right"/>
        <w:rPr>
          <w:i/>
          <w:iCs/>
        </w:rPr>
      </w:pPr>
      <w:r>
        <w:rPr>
          <w:i/>
          <w:iCs/>
        </w:rPr>
        <w:t>Carried</w:t>
      </w:r>
    </w:p>
    <w:p w14:paraId="6FD7162B" w14:textId="6C84378A" w:rsidR="00085195" w:rsidRDefault="00085195" w:rsidP="00504DB8">
      <w:pPr>
        <w:spacing w:before="120" w:after="120" w:line="240" w:lineRule="auto"/>
        <w:jc w:val="both"/>
        <w:rPr>
          <w:b/>
          <w:bCs/>
          <w:u w:val="single"/>
        </w:rPr>
      </w:pPr>
      <w:r>
        <w:rPr>
          <w:b/>
          <w:bCs/>
          <w:u w:val="single"/>
        </w:rPr>
        <w:t>Matters Arising</w:t>
      </w:r>
    </w:p>
    <w:p w14:paraId="77BFD78F" w14:textId="6FFDD4CD" w:rsidR="00085195" w:rsidRDefault="00085195" w:rsidP="00504DB8">
      <w:pPr>
        <w:spacing w:before="120" w:after="120" w:line="240" w:lineRule="auto"/>
        <w:jc w:val="both"/>
      </w:pPr>
      <w:r>
        <w:t xml:space="preserve">Cr Dooley asked </w:t>
      </w:r>
      <w:r w:rsidR="00532AAC">
        <w:t>if</w:t>
      </w:r>
      <w:r>
        <w:t xml:space="preserve"> the outstanding NEMA claims had been paid, and Ms Mabin confirmed that NEMA ha</w:t>
      </w:r>
      <w:r w:rsidR="00D95DE6">
        <w:t>d</w:t>
      </w:r>
      <w:r>
        <w:t xml:space="preserve"> agreed to pay but was unsure if the money had gone through.</w:t>
      </w:r>
    </w:p>
    <w:p w14:paraId="27773005" w14:textId="2B866B9D" w:rsidR="00085195" w:rsidRDefault="00085195" w:rsidP="00504DB8">
      <w:pPr>
        <w:spacing w:before="120" w:after="120" w:line="240" w:lineRule="auto"/>
        <w:jc w:val="both"/>
      </w:pPr>
      <w:r>
        <w:t>Cr Dooley asked if Centrum Lane rent review would be discussed and in what forum.  Ms Mabin replied that it would have to be tabled as a late item in Public Excluded and she would print papers for that part of the meeting.</w:t>
      </w:r>
    </w:p>
    <w:p w14:paraId="2C662B24" w14:textId="3ABDA4A4" w:rsidR="00085195" w:rsidRPr="00085195" w:rsidRDefault="00504DB8" w:rsidP="00504DB8">
      <w:pPr>
        <w:pStyle w:val="ListParagraph"/>
        <w:numPr>
          <w:ilvl w:val="0"/>
          <w:numId w:val="1"/>
        </w:numPr>
        <w:tabs>
          <w:tab w:val="left" w:pos="284"/>
        </w:tabs>
        <w:spacing w:before="120" w:after="120" w:line="240" w:lineRule="auto"/>
        <w:jc w:val="both"/>
      </w:pPr>
      <w:r>
        <w:rPr>
          <w:b/>
          <w:bCs/>
          <w:u w:val="single"/>
        </w:rPr>
        <w:t>Deputy</w:t>
      </w:r>
      <w:r w:rsidR="00085195">
        <w:rPr>
          <w:b/>
          <w:bCs/>
          <w:u w:val="single"/>
        </w:rPr>
        <w:t xml:space="preserve"> Chairs Report</w:t>
      </w:r>
    </w:p>
    <w:p w14:paraId="3EC5B397" w14:textId="77777777" w:rsidR="00085195" w:rsidRDefault="00085195" w:rsidP="00504DB8">
      <w:pPr>
        <w:pStyle w:val="ListParagraph"/>
        <w:tabs>
          <w:tab w:val="left" w:pos="284"/>
        </w:tabs>
        <w:spacing w:before="120" w:after="120" w:line="240" w:lineRule="auto"/>
        <w:ind w:left="0" w:firstLine="644"/>
        <w:jc w:val="both"/>
        <w:rPr>
          <w:b/>
          <w:bCs/>
          <w:u w:val="single"/>
        </w:rPr>
      </w:pPr>
    </w:p>
    <w:p w14:paraId="6F2C12B9" w14:textId="77777777" w:rsidR="00085195" w:rsidRDefault="00085195" w:rsidP="00504DB8">
      <w:pPr>
        <w:pStyle w:val="ListParagraph"/>
        <w:tabs>
          <w:tab w:val="left" w:pos="284"/>
        </w:tabs>
        <w:spacing w:before="120" w:after="0" w:line="240" w:lineRule="auto"/>
        <w:ind w:left="0"/>
        <w:jc w:val="both"/>
      </w:pPr>
      <w:r>
        <w:t>Cr Haddock took his report as read.</w:t>
      </w:r>
    </w:p>
    <w:p w14:paraId="5838F999" w14:textId="193224E1" w:rsidR="00085195" w:rsidRDefault="00085195" w:rsidP="00504DB8">
      <w:pPr>
        <w:pStyle w:val="ListParagraph"/>
        <w:tabs>
          <w:tab w:val="left" w:pos="284"/>
        </w:tabs>
        <w:spacing w:before="120" w:after="0" w:line="240" w:lineRule="auto"/>
        <w:ind w:left="0"/>
        <w:jc w:val="both"/>
        <w:rPr>
          <w:i/>
          <w:iCs/>
        </w:rPr>
      </w:pPr>
      <w:r>
        <w:rPr>
          <w:b/>
          <w:bCs/>
        </w:rPr>
        <w:t>Moved</w:t>
      </w:r>
      <w:r>
        <w:t>(</w:t>
      </w:r>
      <w:r>
        <w:tab/>
        <w:t>Ewen/Cummings)</w:t>
      </w:r>
      <w:r>
        <w:rPr>
          <w:i/>
          <w:iCs/>
        </w:rPr>
        <w:t xml:space="preserve"> that the </w:t>
      </w:r>
      <w:r w:rsidR="00504DB8">
        <w:rPr>
          <w:i/>
          <w:iCs/>
        </w:rPr>
        <w:t>Deputy</w:t>
      </w:r>
      <w:r>
        <w:rPr>
          <w:i/>
          <w:iCs/>
        </w:rPr>
        <w:t xml:space="preserve"> Chairs report for February 2023 be </w:t>
      </w:r>
      <w:proofErr w:type="gramStart"/>
      <w:r>
        <w:rPr>
          <w:i/>
          <w:iCs/>
        </w:rPr>
        <w:t>received</w:t>
      </w:r>
      <w:proofErr w:type="gramEnd"/>
    </w:p>
    <w:p w14:paraId="7A7C01C2" w14:textId="4C36DBD1" w:rsidR="00085195" w:rsidRDefault="0053693C" w:rsidP="00504DB8">
      <w:pPr>
        <w:pStyle w:val="ListParagraph"/>
        <w:tabs>
          <w:tab w:val="left" w:pos="284"/>
        </w:tabs>
        <w:spacing w:after="120" w:line="240" w:lineRule="auto"/>
        <w:ind w:left="0"/>
        <w:jc w:val="right"/>
        <w:rPr>
          <w:i/>
          <w:iCs/>
        </w:rPr>
      </w:pPr>
      <w:r>
        <w:rPr>
          <w:i/>
          <w:iCs/>
        </w:rPr>
        <w:t>Carried</w:t>
      </w:r>
    </w:p>
    <w:p w14:paraId="09CBCE9B" w14:textId="7E1A2618" w:rsidR="006577AF" w:rsidRPr="00D362AF" w:rsidRDefault="006577AF" w:rsidP="00504DB8">
      <w:pPr>
        <w:pStyle w:val="ListParagraph"/>
        <w:numPr>
          <w:ilvl w:val="0"/>
          <w:numId w:val="1"/>
        </w:numPr>
        <w:tabs>
          <w:tab w:val="left" w:pos="284"/>
        </w:tabs>
        <w:spacing w:before="120" w:after="120" w:line="240" w:lineRule="auto"/>
        <w:ind w:left="284" w:firstLine="0"/>
        <w:jc w:val="both"/>
        <w:rPr>
          <w:b/>
          <w:bCs/>
        </w:rPr>
      </w:pPr>
      <w:r>
        <w:rPr>
          <w:b/>
          <w:bCs/>
          <w:u w:val="single"/>
        </w:rPr>
        <w:t>Chief Executive Reports</w:t>
      </w:r>
    </w:p>
    <w:p w14:paraId="3E4AAB01" w14:textId="1978E6EC" w:rsidR="00085195" w:rsidRDefault="00D362AF" w:rsidP="00504DB8">
      <w:pPr>
        <w:pStyle w:val="ListParagraph"/>
        <w:tabs>
          <w:tab w:val="left" w:pos="284"/>
        </w:tabs>
        <w:spacing w:before="120" w:after="120" w:line="240" w:lineRule="auto"/>
        <w:ind w:left="0"/>
        <w:jc w:val="both"/>
        <w:rPr>
          <w:i/>
          <w:iCs/>
        </w:rPr>
      </w:pPr>
      <w:proofErr w:type="gramStart"/>
      <w:r w:rsidRPr="00D362AF">
        <w:rPr>
          <w:b/>
          <w:bCs/>
        </w:rPr>
        <w:t>Moved</w:t>
      </w:r>
      <w:r>
        <w:t>(</w:t>
      </w:r>
      <w:proofErr w:type="gramEnd"/>
      <w:r>
        <w:t xml:space="preserve">Haddock/Cummings) </w:t>
      </w:r>
      <w:r>
        <w:rPr>
          <w:i/>
          <w:iCs/>
        </w:rPr>
        <w:t>that the Chief Executive Report be received</w:t>
      </w:r>
    </w:p>
    <w:p w14:paraId="4E3FAB93" w14:textId="7335BD9C" w:rsidR="00D362AF" w:rsidRPr="00D362AF" w:rsidRDefault="00D362AF" w:rsidP="00504DB8">
      <w:pPr>
        <w:pStyle w:val="ListParagraph"/>
        <w:tabs>
          <w:tab w:val="left" w:pos="284"/>
        </w:tabs>
        <w:spacing w:before="120" w:after="120" w:line="240" w:lineRule="auto"/>
        <w:ind w:left="0"/>
        <w:jc w:val="right"/>
        <w:rPr>
          <w:i/>
          <w:iCs/>
        </w:rPr>
      </w:pPr>
      <w:r>
        <w:rPr>
          <w:i/>
          <w:iCs/>
        </w:rPr>
        <w:t>Carried</w:t>
      </w:r>
    </w:p>
    <w:p w14:paraId="00FFC7DB" w14:textId="77777777" w:rsidR="006577AF" w:rsidRDefault="006577AF" w:rsidP="00504DB8">
      <w:pPr>
        <w:spacing w:before="120" w:after="120" w:line="240" w:lineRule="auto"/>
        <w:jc w:val="both"/>
      </w:pPr>
    </w:p>
    <w:p w14:paraId="466240ED" w14:textId="3A2B2CB3" w:rsidR="006577AF" w:rsidRDefault="006577AF" w:rsidP="00504DB8">
      <w:pPr>
        <w:pStyle w:val="ListParagraph"/>
        <w:numPr>
          <w:ilvl w:val="1"/>
          <w:numId w:val="1"/>
        </w:numPr>
        <w:spacing w:before="120" w:after="120" w:line="240" w:lineRule="auto"/>
        <w:jc w:val="both"/>
      </w:pPr>
      <w:r w:rsidRPr="008E457F">
        <w:rPr>
          <w:b/>
          <w:bCs/>
        </w:rPr>
        <w:t>The Delegations and Authority Manual</w:t>
      </w:r>
      <w:r>
        <w:t xml:space="preserve"> would be held over until the April meeting and Cr Dooley stated that there would be no requirement to re-print the manual.</w:t>
      </w:r>
    </w:p>
    <w:p w14:paraId="5D8B0AD3" w14:textId="683952D1" w:rsidR="008E457F" w:rsidRDefault="008E457F" w:rsidP="00504DB8">
      <w:pPr>
        <w:pStyle w:val="ListParagraph"/>
        <w:numPr>
          <w:ilvl w:val="1"/>
          <w:numId w:val="1"/>
        </w:numPr>
        <w:spacing w:before="120" w:after="120" w:line="240" w:lineRule="auto"/>
        <w:jc w:val="both"/>
      </w:pPr>
      <w:r>
        <w:rPr>
          <w:b/>
          <w:bCs/>
        </w:rPr>
        <w:t>Quarterly Report</w:t>
      </w:r>
    </w:p>
    <w:p w14:paraId="3D35452F" w14:textId="77777777" w:rsidR="008E457F" w:rsidRDefault="006577AF" w:rsidP="00504DB8">
      <w:pPr>
        <w:spacing w:before="120" w:after="120" w:line="240" w:lineRule="auto"/>
        <w:jc w:val="both"/>
        <w:rPr>
          <w:i/>
          <w:iCs/>
        </w:rPr>
      </w:pPr>
      <w:proofErr w:type="gramStart"/>
      <w:r>
        <w:rPr>
          <w:b/>
          <w:bCs/>
        </w:rPr>
        <w:t>Moved</w:t>
      </w:r>
      <w:r>
        <w:t>(</w:t>
      </w:r>
      <w:proofErr w:type="gramEnd"/>
      <w:r>
        <w:t>Haddock/Cummings)</w:t>
      </w:r>
      <w:r>
        <w:rPr>
          <w:i/>
          <w:iCs/>
        </w:rPr>
        <w:t xml:space="preserve">that </w:t>
      </w:r>
      <w:r w:rsidR="008E457F">
        <w:rPr>
          <w:i/>
          <w:iCs/>
        </w:rPr>
        <w:t>Council receive the operating results, variance analysis and balance sheet for the second quarter ending 31 December 2022.</w:t>
      </w:r>
    </w:p>
    <w:p w14:paraId="050D9E65" w14:textId="3A838E10" w:rsidR="006577AF" w:rsidRDefault="006577AF" w:rsidP="00504DB8">
      <w:pPr>
        <w:spacing w:before="120" w:after="120" w:line="240" w:lineRule="auto"/>
        <w:jc w:val="right"/>
        <w:rPr>
          <w:i/>
          <w:iCs/>
        </w:rPr>
      </w:pPr>
      <w:r>
        <w:rPr>
          <w:i/>
          <w:iCs/>
        </w:rPr>
        <w:t>Carried</w:t>
      </w:r>
    </w:p>
    <w:p w14:paraId="63EDD2F4" w14:textId="3D04C87C" w:rsidR="00D362AF" w:rsidRPr="002B579B" w:rsidRDefault="002B579B" w:rsidP="00504DB8">
      <w:pPr>
        <w:spacing w:before="120" w:after="120" w:line="240" w:lineRule="auto"/>
        <w:ind w:left="284"/>
        <w:jc w:val="both"/>
        <w:rPr>
          <w:b/>
          <w:bCs/>
          <w:u w:val="single"/>
        </w:rPr>
      </w:pPr>
      <w:r w:rsidRPr="002B579B">
        <w:rPr>
          <w:b/>
          <w:bCs/>
        </w:rPr>
        <w:t>8.1</w:t>
      </w:r>
      <w:r w:rsidR="00D362AF">
        <w:tab/>
      </w:r>
      <w:r w:rsidR="00D362AF" w:rsidRPr="002B579B">
        <w:rPr>
          <w:b/>
          <w:bCs/>
          <w:u w:val="single"/>
        </w:rPr>
        <w:t>Operations Monthly Works Report</w:t>
      </w:r>
    </w:p>
    <w:p w14:paraId="771F9AEC" w14:textId="39BF29E9" w:rsidR="00D362AF" w:rsidRDefault="00D362AF" w:rsidP="00504DB8">
      <w:pPr>
        <w:pStyle w:val="ListParagraph"/>
        <w:spacing w:before="120" w:after="120" w:line="240" w:lineRule="auto"/>
        <w:ind w:left="0"/>
        <w:jc w:val="both"/>
      </w:pPr>
      <w:r>
        <w:t xml:space="preserve">Cr Dooley stated there appeared to be some gaps in the </w:t>
      </w:r>
      <w:proofErr w:type="gramStart"/>
      <w:r>
        <w:t>report, and</w:t>
      </w:r>
      <w:proofErr w:type="gramEnd"/>
      <w:r>
        <w:t xml:space="preserve"> pointed out that he had been waiting for an update on Granite Creek, and re-stated about the Action points coming out of meetings.  Ms Mabin clarified that the Action Plan had started and asked where it was to sit on the </w:t>
      </w:r>
      <w:proofErr w:type="gramStart"/>
      <w:r>
        <w:t>Agenda</w:t>
      </w:r>
      <w:proofErr w:type="gramEnd"/>
      <w:r w:rsidR="002B579B">
        <w:t>, and only outstanding matters to be included.</w:t>
      </w:r>
    </w:p>
    <w:p w14:paraId="725F3B56" w14:textId="49FD3450" w:rsidR="00D362AF" w:rsidRDefault="00D362AF" w:rsidP="00504DB8">
      <w:pPr>
        <w:spacing w:before="120" w:after="0" w:line="240" w:lineRule="auto"/>
        <w:jc w:val="both"/>
        <w:rPr>
          <w:i/>
          <w:iCs/>
        </w:rPr>
      </w:pPr>
      <w:proofErr w:type="gramStart"/>
      <w:r>
        <w:rPr>
          <w:b/>
          <w:bCs/>
        </w:rPr>
        <w:t>Moved</w:t>
      </w:r>
      <w:r>
        <w:t>(</w:t>
      </w:r>
      <w:proofErr w:type="gramEnd"/>
      <w:r>
        <w:t>Haddock/Cummings)</w:t>
      </w:r>
      <w:r>
        <w:rPr>
          <w:i/>
          <w:iCs/>
        </w:rPr>
        <w:t>that the Operations Monthly Works Report is received</w:t>
      </w:r>
    </w:p>
    <w:p w14:paraId="5CBECF0C" w14:textId="7B8C1B61" w:rsidR="00D362AF" w:rsidRDefault="00D362AF" w:rsidP="00504DB8">
      <w:pPr>
        <w:spacing w:after="120" w:line="240" w:lineRule="auto"/>
        <w:jc w:val="right"/>
        <w:rPr>
          <w:i/>
          <w:iCs/>
        </w:rPr>
      </w:pPr>
      <w:r>
        <w:rPr>
          <w:i/>
          <w:iCs/>
        </w:rPr>
        <w:t>Carried</w:t>
      </w:r>
    </w:p>
    <w:p w14:paraId="49035A2A" w14:textId="2B83757A" w:rsidR="002B579B" w:rsidRDefault="002B579B" w:rsidP="00504DB8">
      <w:pPr>
        <w:spacing w:before="120" w:after="120" w:line="240" w:lineRule="auto"/>
        <w:ind w:left="284" w:hanging="284"/>
        <w:jc w:val="both"/>
        <w:rPr>
          <w:b/>
          <w:bCs/>
          <w:u w:val="single"/>
        </w:rPr>
      </w:pPr>
      <w:r>
        <w:tab/>
      </w:r>
      <w:r w:rsidRPr="002B579B">
        <w:rPr>
          <w:b/>
          <w:bCs/>
        </w:rPr>
        <w:t>8.2</w:t>
      </w:r>
      <w:r>
        <w:rPr>
          <w:b/>
          <w:bCs/>
        </w:rPr>
        <w:tab/>
      </w:r>
      <w:r>
        <w:rPr>
          <w:b/>
          <w:bCs/>
          <w:u w:val="single"/>
        </w:rPr>
        <w:t>Quarries Report</w:t>
      </w:r>
    </w:p>
    <w:p w14:paraId="15517277" w14:textId="74D3684A" w:rsidR="00732900" w:rsidRDefault="00732900" w:rsidP="00504DB8">
      <w:pPr>
        <w:spacing w:before="120" w:after="120" w:line="240" w:lineRule="auto"/>
        <w:jc w:val="both"/>
      </w:pPr>
      <w:r w:rsidRPr="00732900">
        <w:t>Cr Cummings</w:t>
      </w:r>
      <w:r>
        <w:t xml:space="preserve"> told the meeting he had received a phone call from a contractor who said the price of the rock at the Camelback quarry of $39.00 was </w:t>
      </w:r>
      <w:proofErr w:type="gramStart"/>
      <w:r>
        <w:t>unsustainable, and</w:t>
      </w:r>
      <w:proofErr w:type="gramEnd"/>
      <w:r w:rsidR="00532AAC">
        <w:t xml:space="preserve"> took the meeting</w:t>
      </w:r>
      <w:r>
        <w:t xml:space="preserve"> through some of the old pricing.</w:t>
      </w:r>
    </w:p>
    <w:p w14:paraId="60B4AC89" w14:textId="025F9CD8" w:rsidR="00732900" w:rsidRPr="00732900" w:rsidRDefault="00732900" w:rsidP="00504DB8">
      <w:pPr>
        <w:spacing w:before="120" w:after="120" w:line="240" w:lineRule="auto"/>
        <w:jc w:val="both"/>
      </w:pPr>
      <w:r>
        <w:t xml:space="preserve">Cr Cummings felt that the rock a </w:t>
      </w:r>
      <w:proofErr w:type="gramStart"/>
      <w:r>
        <w:t>the  Camelback</w:t>
      </w:r>
      <w:proofErr w:type="gramEnd"/>
      <w:r>
        <w:t xml:space="preserve"> was overpriced and the </w:t>
      </w:r>
      <w:proofErr w:type="spellStart"/>
      <w:r>
        <w:t>Inchbonnie</w:t>
      </w:r>
      <w:proofErr w:type="spellEnd"/>
      <w:r>
        <w:t xml:space="preserve"> </w:t>
      </w:r>
      <w:r w:rsidR="00532AAC">
        <w:t xml:space="preserve">rock </w:t>
      </w:r>
      <w:proofErr w:type="spellStart"/>
      <w:r>
        <w:t>underpriced</w:t>
      </w:r>
      <w:proofErr w:type="spellEnd"/>
      <w:r>
        <w:t>.  Cr Dooley felt that it should be taken as a work in progress and Ms Harrison ha</w:t>
      </w:r>
      <w:r w:rsidR="00532AAC">
        <w:t>d</w:t>
      </w:r>
      <w:r>
        <w:t xml:space="preserve"> done a lot of work around the pricing and the Camelback price might need some further work.</w:t>
      </w:r>
    </w:p>
    <w:p w14:paraId="6377EFAF" w14:textId="2910C6CA" w:rsidR="00732900" w:rsidRPr="00732900" w:rsidRDefault="00732900" w:rsidP="00504DB8">
      <w:pPr>
        <w:spacing w:before="120" w:after="120" w:line="240" w:lineRule="auto"/>
        <w:jc w:val="both"/>
      </w:pPr>
      <w:r w:rsidRPr="00732900">
        <w:t>There was discussion around the restoration of the quarries</w:t>
      </w:r>
      <w:r w:rsidR="0085739F">
        <w:t xml:space="preserve">, and Cr Cummings had some valuable </w:t>
      </w:r>
      <w:proofErr w:type="gramStart"/>
      <w:r w:rsidR="0085739F">
        <w:t>information</w:t>
      </w:r>
      <w:r>
        <w:t xml:space="preserve">  </w:t>
      </w:r>
      <w:r w:rsidR="0085739F">
        <w:t>for</w:t>
      </w:r>
      <w:proofErr w:type="gramEnd"/>
      <w:r w:rsidR="0085739F">
        <w:t xml:space="preserve"> Ms Harrison regarding the </w:t>
      </w:r>
      <w:proofErr w:type="spellStart"/>
      <w:r w:rsidR="0085739F">
        <w:t>Cambelback</w:t>
      </w:r>
      <w:proofErr w:type="spellEnd"/>
      <w:r w:rsidR="0085739F">
        <w:t xml:space="preserve"> quarry and the </w:t>
      </w:r>
      <w:proofErr w:type="spellStart"/>
      <w:r w:rsidR="0085739F">
        <w:t>Limeworks</w:t>
      </w:r>
      <w:proofErr w:type="spellEnd"/>
      <w:r w:rsidR="0085739F">
        <w:t>.</w:t>
      </w:r>
      <w:r w:rsidR="00887DD8">
        <w:t xml:space="preserve">  </w:t>
      </w:r>
    </w:p>
    <w:p w14:paraId="36383FFC" w14:textId="77777777" w:rsidR="00532AAC" w:rsidRDefault="00887DD8" w:rsidP="00504DB8">
      <w:pPr>
        <w:spacing w:before="120" w:after="120" w:line="240" w:lineRule="auto"/>
        <w:jc w:val="both"/>
      </w:pPr>
      <w:r>
        <w:t xml:space="preserve">Cr Ewen bought up the Blackball Quarry ad referred to Page 141 of the </w:t>
      </w:r>
      <w:proofErr w:type="gramStart"/>
      <w:r>
        <w:t>Agenda</w:t>
      </w:r>
      <w:proofErr w:type="gramEnd"/>
      <w:r>
        <w:t xml:space="preserve"> and wanted to know the outcome of the alteration that had to be made to widen the access of the Great </w:t>
      </w:r>
      <w:proofErr w:type="spellStart"/>
      <w:r>
        <w:t>Paparoa</w:t>
      </w:r>
      <w:proofErr w:type="spellEnd"/>
      <w:r>
        <w:t xml:space="preserve"> Walk.  </w:t>
      </w:r>
    </w:p>
    <w:p w14:paraId="08A31BBC" w14:textId="26FB718D" w:rsidR="00887DD8" w:rsidRDefault="00887DD8" w:rsidP="00504DB8">
      <w:pPr>
        <w:spacing w:before="120" w:after="120" w:line="240" w:lineRule="auto"/>
        <w:jc w:val="both"/>
      </w:pPr>
      <w:r>
        <w:t>Ms Mabin replied there were various discussions with DOC and GDC and there was offer of Traffic Management assistance, but Cr Ewen wanted to make sure that there was no residual liability</w:t>
      </w:r>
      <w:r w:rsidR="00C75909">
        <w:t xml:space="preserve"> regarding the rock face being in the way of the widening of the road.  Ms Mabin thought it would be addressed when the Quarry was closed.</w:t>
      </w:r>
    </w:p>
    <w:p w14:paraId="4C3C3C73" w14:textId="0E00CE6D" w:rsidR="002B579B" w:rsidRDefault="002B579B" w:rsidP="00504DB8">
      <w:pPr>
        <w:spacing w:before="120" w:after="0" w:line="240" w:lineRule="auto"/>
        <w:ind w:left="288" w:hanging="288"/>
        <w:jc w:val="both"/>
        <w:rPr>
          <w:i/>
          <w:iCs/>
        </w:rPr>
      </w:pPr>
      <w:proofErr w:type="gramStart"/>
      <w:r>
        <w:rPr>
          <w:b/>
          <w:bCs/>
        </w:rPr>
        <w:t>Moved</w:t>
      </w:r>
      <w:r>
        <w:t>(</w:t>
      </w:r>
      <w:proofErr w:type="gramEnd"/>
      <w:r>
        <w:t xml:space="preserve">McIntyre/Cummings) </w:t>
      </w:r>
      <w:r>
        <w:rPr>
          <w:i/>
          <w:iCs/>
        </w:rPr>
        <w:t>that the Quarries Report be received</w:t>
      </w:r>
    </w:p>
    <w:p w14:paraId="2B1CD804" w14:textId="72405CEB" w:rsidR="002B579B" w:rsidRDefault="002B579B" w:rsidP="00504DB8">
      <w:pPr>
        <w:spacing w:after="120" w:line="240" w:lineRule="auto"/>
        <w:ind w:left="288" w:hanging="288"/>
        <w:jc w:val="right"/>
        <w:rPr>
          <w:i/>
          <w:iCs/>
        </w:rPr>
      </w:pPr>
      <w:r>
        <w:rPr>
          <w:i/>
          <w:iCs/>
        </w:rPr>
        <w:t>Carried</w:t>
      </w:r>
    </w:p>
    <w:p w14:paraId="5EE2E6D1" w14:textId="7583C09B" w:rsidR="0085739F" w:rsidRDefault="0085739F" w:rsidP="00504DB8">
      <w:pPr>
        <w:spacing w:before="120" w:after="120" w:line="240" w:lineRule="auto"/>
        <w:ind w:left="284" w:hanging="284"/>
        <w:jc w:val="both"/>
        <w:rPr>
          <w:b/>
          <w:bCs/>
          <w:u w:val="single"/>
        </w:rPr>
      </w:pPr>
      <w:r>
        <w:tab/>
      </w:r>
      <w:r>
        <w:rPr>
          <w:b/>
          <w:bCs/>
        </w:rPr>
        <w:t>8.3</w:t>
      </w:r>
      <w:r>
        <w:rPr>
          <w:b/>
          <w:bCs/>
        </w:rPr>
        <w:tab/>
      </w:r>
      <w:r>
        <w:rPr>
          <w:b/>
          <w:bCs/>
          <w:u w:val="single"/>
        </w:rPr>
        <w:t>Hokitika Rating District Joint Agreement Draft</w:t>
      </w:r>
    </w:p>
    <w:p w14:paraId="15D6EDA5" w14:textId="66CE2DF6" w:rsidR="00532AAC" w:rsidRDefault="00532AAC" w:rsidP="00504DB8">
      <w:pPr>
        <w:spacing w:before="120" w:after="120" w:line="240" w:lineRule="auto"/>
      </w:pPr>
      <w:r>
        <w:t xml:space="preserve">Cr Ewen bought up about the beach accessways and Ms Mabin said they had received an invoice from </w:t>
      </w:r>
      <w:proofErr w:type="gramStart"/>
      <w:r>
        <w:t>WDC</w:t>
      </w:r>
      <w:proofErr w:type="gramEnd"/>
      <w:r>
        <w:t xml:space="preserve"> but she had communicated back through the CE and said that WCRC would not pay it.</w:t>
      </w:r>
    </w:p>
    <w:p w14:paraId="2F487E41" w14:textId="77777777" w:rsidR="00532AAC" w:rsidRDefault="00532AAC" w:rsidP="00504DB8">
      <w:pPr>
        <w:spacing w:before="120" w:after="120" w:line="240" w:lineRule="auto"/>
      </w:pPr>
      <w:r>
        <w:t>There was also a question around raising the accessway at Westland Milk and Ms Mabin said that the job had been completed by WDC.</w:t>
      </w:r>
    </w:p>
    <w:p w14:paraId="4E2083DD" w14:textId="588F2741" w:rsidR="00AE3111" w:rsidRDefault="00AE3111" w:rsidP="00504DB8">
      <w:pPr>
        <w:spacing w:before="120" w:after="0" w:line="240" w:lineRule="auto"/>
        <w:jc w:val="both"/>
        <w:rPr>
          <w:i/>
          <w:iCs/>
        </w:rPr>
      </w:pPr>
      <w:proofErr w:type="gramStart"/>
      <w:r>
        <w:rPr>
          <w:b/>
          <w:bCs/>
        </w:rPr>
        <w:t>Moved</w:t>
      </w:r>
      <w:r>
        <w:t>(</w:t>
      </w:r>
      <w:proofErr w:type="gramEnd"/>
      <w:r>
        <w:t xml:space="preserve">Haddock/Campbell) </w:t>
      </w:r>
      <w:r>
        <w:rPr>
          <w:i/>
          <w:iCs/>
        </w:rPr>
        <w:t xml:space="preserve">that Council adopt the revised Hokitika Rating District Joint Committee Agreement 2023 and consult with </w:t>
      </w:r>
      <w:proofErr w:type="spellStart"/>
      <w:r>
        <w:rPr>
          <w:i/>
          <w:iCs/>
        </w:rPr>
        <w:t>Te</w:t>
      </w:r>
      <w:proofErr w:type="spellEnd"/>
      <w:r>
        <w:rPr>
          <w:i/>
          <w:iCs/>
        </w:rPr>
        <w:t xml:space="preserve"> </w:t>
      </w:r>
      <w:proofErr w:type="spellStart"/>
      <w:r>
        <w:rPr>
          <w:i/>
          <w:iCs/>
        </w:rPr>
        <w:t>Rūnanga</w:t>
      </w:r>
      <w:proofErr w:type="spellEnd"/>
      <w:r>
        <w:rPr>
          <w:i/>
          <w:iCs/>
        </w:rPr>
        <w:t xml:space="preserve"> a Ngāti </w:t>
      </w:r>
      <w:proofErr w:type="spellStart"/>
      <w:r>
        <w:rPr>
          <w:i/>
          <w:iCs/>
        </w:rPr>
        <w:t>Waewae</w:t>
      </w:r>
      <w:proofErr w:type="spellEnd"/>
      <w:r>
        <w:rPr>
          <w:i/>
          <w:iCs/>
        </w:rPr>
        <w:t xml:space="preserve"> and </w:t>
      </w:r>
      <w:proofErr w:type="spellStart"/>
      <w:r>
        <w:rPr>
          <w:i/>
          <w:iCs/>
        </w:rPr>
        <w:t>Te</w:t>
      </w:r>
      <w:proofErr w:type="spellEnd"/>
      <w:r>
        <w:rPr>
          <w:i/>
          <w:iCs/>
        </w:rPr>
        <w:t xml:space="preserve"> </w:t>
      </w:r>
      <w:proofErr w:type="spellStart"/>
      <w:r>
        <w:rPr>
          <w:i/>
          <w:iCs/>
        </w:rPr>
        <w:t>Rūnanga</w:t>
      </w:r>
      <w:proofErr w:type="spellEnd"/>
      <w:r>
        <w:rPr>
          <w:i/>
          <w:iCs/>
        </w:rPr>
        <w:t xml:space="preserve"> o </w:t>
      </w:r>
      <w:proofErr w:type="spellStart"/>
      <w:r>
        <w:rPr>
          <w:i/>
          <w:iCs/>
        </w:rPr>
        <w:t>Makaawhio</w:t>
      </w:r>
      <w:proofErr w:type="spellEnd"/>
      <w:r>
        <w:rPr>
          <w:i/>
          <w:iCs/>
        </w:rPr>
        <w:t xml:space="preserve"> and seek their approval as signatories to the Agreement.</w:t>
      </w:r>
    </w:p>
    <w:p w14:paraId="61E2E8A9" w14:textId="60FA3225" w:rsidR="00AE3111" w:rsidRDefault="00AE3111" w:rsidP="00504DB8">
      <w:pPr>
        <w:spacing w:after="120" w:line="240" w:lineRule="auto"/>
        <w:jc w:val="right"/>
        <w:rPr>
          <w:i/>
          <w:iCs/>
        </w:rPr>
      </w:pPr>
      <w:r>
        <w:rPr>
          <w:i/>
          <w:iCs/>
        </w:rPr>
        <w:t>Carried</w:t>
      </w:r>
    </w:p>
    <w:p w14:paraId="034F13EC" w14:textId="77777777" w:rsidR="006D38EB" w:rsidRDefault="006D38EB" w:rsidP="00504DB8">
      <w:pPr>
        <w:spacing w:before="120" w:after="120" w:line="240" w:lineRule="auto"/>
      </w:pPr>
    </w:p>
    <w:p w14:paraId="6033049F" w14:textId="591B1C25" w:rsidR="00B73B91" w:rsidRDefault="004F0B28" w:rsidP="00504DB8">
      <w:pPr>
        <w:spacing w:before="120" w:after="120" w:line="240" w:lineRule="auto"/>
        <w:ind w:left="284" w:hanging="284"/>
        <w:jc w:val="both"/>
      </w:pPr>
      <w:r>
        <w:t>There being no General Business the Public Council meeting concluded at 12.20pm.</w:t>
      </w:r>
    </w:p>
    <w:p w14:paraId="4056FA99" w14:textId="77777777" w:rsidR="00AC7964" w:rsidRDefault="00AC7964" w:rsidP="00504DB8">
      <w:pPr>
        <w:spacing w:before="120" w:after="120" w:line="240" w:lineRule="auto"/>
        <w:ind w:left="284" w:hanging="284"/>
        <w:jc w:val="both"/>
      </w:pPr>
    </w:p>
    <w:p w14:paraId="4F033C75" w14:textId="77777777" w:rsidR="00AC7964" w:rsidRDefault="00AC7964" w:rsidP="00AC7964">
      <w:pPr>
        <w:spacing w:after="0" w:line="240" w:lineRule="auto"/>
        <w:jc w:val="center"/>
        <w:rPr>
          <w:b/>
          <w:bCs/>
          <w:u w:val="single"/>
        </w:rPr>
      </w:pPr>
      <w:r w:rsidRPr="00C02146">
        <w:rPr>
          <w:b/>
          <w:bCs/>
          <w:u w:val="single"/>
        </w:rPr>
        <w:lastRenderedPageBreak/>
        <w:t>WEST COAST REGIONAL COUNCIL</w:t>
      </w:r>
    </w:p>
    <w:p w14:paraId="4A332E31" w14:textId="77777777" w:rsidR="00AC7964" w:rsidRDefault="00AC7964" w:rsidP="00AC7964">
      <w:pPr>
        <w:spacing w:after="0" w:line="240" w:lineRule="auto"/>
      </w:pPr>
    </w:p>
    <w:p w14:paraId="287FF7E7" w14:textId="77777777" w:rsidR="00AC7964" w:rsidRDefault="00AC7964" w:rsidP="00AC7964">
      <w:pPr>
        <w:spacing w:after="0" w:line="240" w:lineRule="auto"/>
      </w:pPr>
      <w:r>
        <w:t>To:</w:t>
      </w:r>
      <w:r>
        <w:tab/>
        <w:t>Chair, West Coast Regional Council</w:t>
      </w:r>
    </w:p>
    <w:p w14:paraId="50561430" w14:textId="77777777" w:rsidR="00AC7964" w:rsidRDefault="00AC7964" w:rsidP="00AC7964">
      <w:pPr>
        <w:spacing w:after="0" w:line="240" w:lineRule="auto"/>
        <w:rPr>
          <w:i/>
          <w:iCs/>
        </w:rPr>
      </w:pPr>
    </w:p>
    <w:p w14:paraId="115142EB" w14:textId="2C76F4B2" w:rsidR="00AC7964" w:rsidRDefault="00AC7964" w:rsidP="00AC7964">
      <w:pPr>
        <w:spacing w:after="0" w:line="240" w:lineRule="auto"/>
        <w:rPr>
          <w:i/>
          <w:iCs/>
        </w:rPr>
      </w:pPr>
      <w:r>
        <w:rPr>
          <w:i/>
          <w:iCs/>
        </w:rPr>
        <w:t>I move that the public be excluded from the following parts of the proceedings of this meeting, namely – items 10.1-10.5.3 (inclusive) due to privacy and commercial sensitivity reasons and that:</w:t>
      </w:r>
    </w:p>
    <w:p w14:paraId="7580DDCD" w14:textId="77777777" w:rsidR="00AC7964" w:rsidRDefault="00AC7964" w:rsidP="00AC7964">
      <w:pPr>
        <w:pStyle w:val="ListParagraph"/>
        <w:numPr>
          <w:ilvl w:val="0"/>
          <w:numId w:val="3"/>
        </w:numPr>
        <w:spacing w:after="0" w:line="240" w:lineRule="auto"/>
        <w:ind w:left="284" w:hanging="284"/>
        <w:rPr>
          <w:i/>
          <w:iCs/>
        </w:rPr>
      </w:pPr>
      <w:r>
        <w:rPr>
          <w:i/>
          <w:iCs/>
        </w:rPr>
        <w:t>Heather Mabin be permitted to remain at this meeting after the public have been excluded due to their knowledge of the subjects. This knowledge will be of assistance in relation to the matters to be discussed; and</w:t>
      </w:r>
    </w:p>
    <w:p w14:paraId="6BC9F6A8" w14:textId="77777777" w:rsidR="00AC7964" w:rsidRPr="006E79EA" w:rsidRDefault="00AC7964" w:rsidP="00AC7964">
      <w:pPr>
        <w:pStyle w:val="ListParagraph"/>
        <w:numPr>
          <w:ilvl w:val="0"/>
          <w:numId w:val="3"/>
        </w:numPr>
        <w:spacing w:after="0" w:line="240" w:lineRule="auto"/>
        <w:ind w:left="284" w:hanging="284"/>
      </w:pPr>
      <w:r>
        <w:rPr>
          <w:i/>
          <w:iCs/>
        </w:rPr>
        <w:t>That the Minutes Clerk also be permitted to remain.</w:t>
      </w:r>
    </w:p>
    <w:p w14:paraId="3E088E88" w14:textId="77777777" w:rsidR="00AC7964" w:rsidRPr="00FB02F0" w:rsidRDefault="00AC7964" w:rsidP="00AC7964">
      <w:pPr>
        <w:pStyle w:val="ListParagraph"/>
        <w:spacing w:after="0" w:line="240" w:lineRule="auto"/>
        <w:ind w:left="284"/>
      </w:pPr>
    </w:p>
    <w:tbl>
      <w:tblPr>
        <w:tblStyle w:val="TableGrid"/>
        <w:tblW w:w="0" w:type="auto"/>
        <w:tblInd w:w="-5" w:type="dxa"/>
        <w:tblLook w:val="04A0" w:firstRow="1" w:lastRow="0" w:firstColumn="1" w:lastColumn="0" w:noHBand="0" w:noVBand="1"/>
      </w:tblPr>
      <w:tblGrid>
        <w:gridCol w:w="993"/>
        <w:gridCol w:w="2268"/>
        <w:gridCol w:w="2693"/>
        <w:gridCol w:w="3067"/>
      </w:tblGrid>
      <w:tr w:rsidR="00AC7964" w:rsidRPr="00574A6C" w14:paraId="688142CD" w14:textId="77777777" w:rsidTr="00034539">
        <w:tc>
          <w:tcPr>
            <w:tcW w:w="993" w:type="dxa"/>
          </w:tcPr>
          <w:p w14:paraId="6950C8DA" w14:textId="77777777" w:rsidR="00AC7964" w:rsidRPr="006E79EA" w:rsidRDefault="00AC7964" w:rsidP="00034539">
            <w:pPr>
              <w:pStyle w:val="ListParagraph"/>
              <w:ind w:left="0"/>
              <w:rPr>
                <w:b/>
                <w:bCs/>
                <w:sz w:val="18"/>
                <w:szCs w:val="18"/>
              </w:rPr>
            </w:pPr>
            <w:r w:rsidRPr="006E79EA">
              <w:rPr>
                <w:b/>
                <w:bCs/>
                <w:sz w:val="18"/>
                <w:szCs w:val="18"/>
              </w:rPr>
              <w:t>Item No</w:t>
            </w:r>
          </w:p>
        </w:tc>
        <w:tc>
          <w:tcPr>
            <w:tcW w:w="2268" w:type="dxa"/>
          </w:tcPr>
          <w:p w14:paraId="5B363E0B" w14:textId="77777777" w:rsidR="00AC7964" w:rsidRPr="006E79EA" w:rsidRDefault="00AC7964" w:rsidP="00034539">
            <w:pPr>
              <w:pStyle w:val="ListParagraph"/>
              <w:ind w:left="0"/>
              <w:rPr>
                <w:b/>
                <w:bCs/>
                <w:sz w:val="18"/>
                <w:szCs w:val="18"/>
              </w:rPr>
            </w:pPr>
            <w:r w:rsidRPr="006E79EA">
              <w:rPr>
                <w:b/>
                <w:bCs/>
                <w:sz w:val="18"/>
                <w:szCs w:val="18"/>
              </w:rPr>
              <w:t>General Subject of each matter to be considered</w:t>
            </w:r>
          </w:p>
        </w:tc>
        <w:tc>
          <w:tcPr>
            <w:tcW w:w="2693" w:type="dxa"/>
          </w:tcPr>
          <w:p w14:paraId="4AF70696" w14:textId="77777777" w:rsidR="00AC7964" w:rsidRPr="006E79EA" w:rsidRDefault="00AC7964" w:rsidP="00034539">
            <w:pPr>
              <w:pStyle w:val="ListParagraph"/>
              <w:ind w:left="0"/>
              <w:rPr>
                <w:b/>
                <w:bCs/>
                <w:sz w:val="18"/>
                <w:szCs w:val="18"/>
              </w:rPr>
            </w:pPr>
            <w:r w:rsidRPr="006E79EA">
              <w:rPr>
                <w:b/>
                <w:bCs/>
                <w:sz w:val="18"/>
                <w:szCs w:val="18"/>
              </w:rPr>
              <w:t>Reason for passing this resolution in relation to each matter</w:t>
            </w:r>
          </w:p>
        </w:tc>
        <w:tc>
          <w:tcPr>
            <w:tcW w:w="3067" w:type="dxa"/>
          </w:tcPr>
          <w:p w14:paraId="01C47320" w14:textId="77777777" w:rsidR="00AC7964" w:rsidRPr="006E79EA" w:rsidRDefault="00AC7964" w:rsidP="00034539">
            <w:pPr>
              <w:pStyle w:val="ListParagraph"/>
              <w:ind w:left="0"/>
              <w:rPr>
                <w:b/>
                <w:bCs/>
                <w:sz w:val="18"/>
                <w:szCs w:val="18"/>
              </w:rPr>
            </w:pPr>
            <w:r w:rsidRPr="006E79EA">
              <w:rPr>
                <w:b/>
                <w:bCs/>
                <w:sz w:val="18"/>
                <w:szCs w:val="18"/>
              </w:rPr>
              <w:t>Ground(s) under section 7 of LGOIMA for the passing of this resolution</w:t>
            </w:r>
          </w:p>
        </w:tc>
      </w:tr>
      <w:tr w:rsidR="00AC7964" w:rsidRPr="00574A6C" w14:paraId="4F21A171" w14:textId="77777777" w:rsidTr="00034539">
        <w:tc>
          <w:tcPr>
            <w:tcW w:w="993" w:type="dxa"/>
          </w:tcPr>
          <w:p w14:paraId="41ECAACF" w14:textId="77777777" w:rsidR="00AC7964" w:rsidRPr="006E79EA" w:rsidRDefault="00AC7964" w:rsidP="00034539">
            <w:pPr>
              <w:pStyle w:val="ListParagraph"/>
              <w:ind w:left="0"/>
              <w:rPr>
                <w:sz w:val="18"/>
                <w:szCs w:val="18"/>
              </w:rPr>
            </w:pPr>
            <w:r>
              <w:rPr>
                <w:sz w:val="18"/>
                <w:szCs w:val="18"/>
              </w:rPr>
              <w:t>10.1</w:t>
            </w:r>
          </w:p>
        </w:tc>
        <w:tc>
          <w:tcPr>
            <w:tcW w:w="2268" w:type="dxa"/>
          </w:tcPr>
          <w:p w14:paraId="2F61AD1A" w14:textId="77777777" w:rsidR="00AC7964" w:rsidRPr="006E79EA" w:rsidRDefault="00AC7964" w:rsidP="00034539">
            <w:pPr>
              <w:pStyle w:val="ListParagraph"/>
              <w:ind w:left="0"/>
              <w:rPr>
                <w:sz w:val="18"/>
                <w:szCs w:val="18"/>
              </w:rPr>
            </w:pPr>
            <w:r w:rsidRPr="006E79EA">
              <w:rPr>
                <w:sz w:val="18"/>
                <w:szCs w:val="18"/>
              </w:rPr>
              <w:t xml:space="preserve">Confidential Minutes IGC Meeting – </w:t>
            </w:r>
            <w:r>
              <w:rPr>
                <w:sz w:val="18"/>
                <w:szCs w:val="18"/>
              </w:rPr>
              <w:t>14 February</w:t>
            </w:r>
            <w:r w:rsidRPr="006E79EA">
              <w:rPr>
                <w:sz w:val="18"/>
                <w:szCs w:val="18"/>
              </w:rPr>
              <w:t xml:space="preserve"> 202</w:t>
            </w:r>
            <w:r>
              <w:rPr>
                <w:sz w:val="18"/>
                <w:szCs w:val="18"/>
              </w:rPr>
              <w:t>3</w:t>
            </w:r>
          </w:p>
        </w:tc>
        <w:tc>
          <w:tcPr>
            <w:tcW w:w="2693" w:type="dxa"/>
          </w:tcPr>
          <w:p w14:paraId="513A997C" w14:textId="77777777" w:rsidR="00AC7964" w:rsidRPr="006E79EA" w:rsidRDefault="00AC7964" w:rsidP="00034539">
            <w:pPr>
              <w:pStyle w:val="ListParagraph"/>
              <w:ind w:left="0"/>
              <w:rPr>
                <w:sz w:val="18"/>
                <w:szCs w:val="18"/>
              </w:rPr>
            </w:pPr>
            <w:r w:rsidRPr="006E79EA">
              <w:rPr>
                <w:sz w:val="18"/>
                <w:szCs w:val="18"/>
              </w:rPr>
              <w:t>These items contain information relating to commercial, privacy and security matters These items contain information relating to privacy and security matters</w:t>
            </w:r>
          </w:p>
        </w:tc>
        <w:tc>
          <w:tcPr>
            <w:tcW w:w="3067" w:type="dxa"/>
          </w:tcPr>
          <w:p w14:paraId="501EF81F" w14:textId="77777777" w:rsidR="00AC7964" w:rsidRPr="006E79EA" w:rsidRDefault="00AC7964" w:rsidP="00034539">
            <w:pPr>
              <w:pStyle w:val="ListParagraph"/>
              <w:ind w:left="0"/>
              <w:rPr>
                <w:sz w:val="18"/>
                <w:szCs w:val="18"/>
              </w:rPr>
            </w:pPr>
            <w:r w:rsidRPr="006E79EA">
              <w:rPr>
                <w:sz w:val="18"/>
                <w:szCs w:val="18"/>
              </w:rPr>
              <w:t>To protect commercial and private information and to prevent disclosure of information for improper gain or advantage (s7(2)(a), s7(2)(b), and s7(2)(j)).</w:t>
            </w:r>
          </w:p>
        </w:tc>
      </w:tr>
      <w:tr w:rsidR="00AC7964" w:rsidRPr="00574A6C" w14:paraId="1F3DC0E8" w14:textId="77777777" w:rsidTr="00034539">
        <w:tc>
          <w:tcPr>
            <w:tcW w:w="993" w:type="dxa"/>
            <w:tcBorders>
              <w:bottom w:val="single" w:sz="4" w:space="0" w:color="auto"/>
            </w:tcBorders>
          </w:tcPr>
          <w:p w14:paraId="583B4045" w14:textId="77777777" w:rsidR="00AC7964" w:rsidRPr="006E79EA" w:rsidRDefault="00AC7964" w:rsidP="00034539">
            <w:pPr>
              <w:pStyle w:val="ListParagraph"/>
              <w:ind w:left="0"/>
              <w:rPr>
                <w:sz w:val="18"/>
                <w:szCs w:val="18"/>
              </w:rPr>
            </w:pPr>
            <w:r w:rsidRPr="006E79EA">
              <w:rPr>
                <w:sz w:val="18"/>
                <w:szCs w:val="18"/>
              </w:rPr>
              <w:t>1</w:t>
            </w:r>
            <w:r>
              <w:rPr>
                <w:sz w:val="18"/>
                <w:szCs w:val="18"/>
              </w:rPr>
              <w:t>0.2-10.2.3</w:t>
            </w:r>
          </w:p>
        </w:tc>
        <w:tc>
          <w:tcPr>
            <w:tcW w:w="2268" w:type="dxa"/>
            <w:tcBorders>
              <w:bottom w:val="single" w:sz="4" w:space="0" w:color="auto"/>
            </w:tcBorders>
          </w:tcPr>
          <w:p w14:paraId="741D7732" w14:textId="77777777" w:rsidR="00AC7964" w:rsidRPr="006E79EA" w:rsidRDefault="00AC7964" w:rsidP="00034539">
            <w:pPr>
              <w:pStyle w:val="ListParagraph"/>
              <w:ind w:left="0"/>
              <w:rPr>
                <w:sz w:val="18"/>
                <w:szCs w:val="18"/>
              </w:rPr>
            </w:pPr>
            <w:r>
              <w:rPr>
                <w:sz w:val="18"/>
                <w:szCs w:val="18"/>
              </w:rPr>
              <w:t>Franz Josef – Stage 1</w:t>
            </w:r>
          </w:p>
        </w:tc>
        <w:tc>
          <w:tcPr>
            <w:tcW w:w="2693" w:type="dxa"/>
            <w:tcBorders>
              <w:bottom w:val="single" w:sz="4" w:space="0" w:color="auto"/>
            </w:tcBorders>
          </w:tcPr>
          <w:p w14:paraId="2972BB17" w14:textId="77777777" w:rsidR="00AC7964" w:rsidRPr="006E79EA" w:rsidRDefault="00AC7964" w:rsidP="00034539">
            <w:pPr>
              <w:pStyle w:val="ListParagraph"/>
              <w:ind w:left="0"/>
              <w:rPr>
                <w:sz w:val="18"/>
                <w:szCs w:val="18"/>
              </w:rPr>
            </w:pPr>
            <w:r w:rsidRPr="006E79EA">
              <w:rPr>
                <w:sz w:val="18"/>
                <w:szCs w:val="18"/>
              </w:rPr>
              <w:t xml:space="preserve">These items contain information relating to privacy and commercial matters </w:t>
            </w:r>
          </w:p>
        </w:tc>
        <w:tc>
          <w:tcPr>
            <w:tcW w:w="3067" w:type="dxa"/>
            <w:tcBorders>
              <w:bottom w:val="single" w:sz="4" w:space="0" w:color="auto"/>
            </w:tcBorders>
          </w:tcPr>
          <w:p w14:paraId="318039FF" w14:textId="77777777" w:rsidR="00AC7964" w:rsidRPr="006E79EA" w:rsidRDefault="00AC7964" w:rsidP="00034539">
            <w:pPr>
              <w:pStyle w:val="ListParagraph"/>
              <w:ind w:left="0"/>
              <w:rPr>
                <w:sz w:val="18"/>
                <w:szCs w:val="18"/>
              </w:rPr>
            </w:pPr>
            <w:r w:rsidRPr="006E79EA">
              <w:rPr>
                <w:sz w:val="18"/>
                <w:szCs w:val="18"/>
              </w:rPr>
              <w:t>To protect commercial and private information and to prevent disclosure of information for improper gain or advantage (s7(2)(a), s7(2)(b), and s7(2)(j)).</w:t>
            </w:r>
          </w:p>
        </w:tc>
      </w:tr>
      <w:tr w:rsidR="00AC7964" w:rsidRPr="00574A6C" w14:paraId="191F6DA9" w14:textId="77777777" w:rsidTr="00034539">
        <w:trPr>
          <w:trHeight w:val="682"/>
        </w:trPr>
        <w:tc>
          <w:tcPr>
            <w:tcW w:w="993" w:type="dxa"/>
            <w:tcBorders>
              <w:bottom w:val="single" w:sz="4" w:space="0" w:color="auto"/>
            </w:tcBorders>
          </w:tcPr>
          <w:p w14:paraId="1F1E52E2" w14:textId="77777777" w:rsidR="00AC7964" w:rsidRPr="006E79EA" w:rsidRDefault="00AC7964" w:rsidP="00034539">
            <w:pPr>
              <w:pStyle w:val="ListParagraph"/>
              <w:ind w:left="0"/>
              <w:rPr>
                <w:sz w:val="18"/>
                <w:szCs w:val="18"/>
              </w:rPr>
            </w:pPr>
            <w:r w:rsidRPr="006E79EA">
              <w:rPr>
                <w:sz w:val="18"/>
                <w:szCs w:val="18"/>
              </w:rPr>
              <w:t>1</w:t>
            </w:r>
            <w:r>
              <w:rPr>
                <w:sz w:val="18"/>
                <w:szCs w:val="18"/>
              </w:rPr>
              <w:t>0.3</w:t>
            </w:r>
            <w:r w:rsidRPr="006E79EA">
              <w:rPr>
                <w:sz w:val="18"/>
                <w:szCs w:val="18"/>
              </w:rPr>
              <w:t>-1</w:t>
            </w:r>
            <w:r>
              <w:rPr>
                <w:sz w:val="18"/>
                <w:szCs w:val="18"/>
              </w:rPr>
              <w:t>0.3.3</w:t>
            </w:r>
          </w:p>
        </w:tc>
        <w:tc>
          <w:tcPr>
            <w:tcW w:w="2268" w:type="dxa"/>
            <w:tcBorders>
              <w:bottom w:val="single" w:sz="4" w:space="0" w:color="auto"/>
            </w:tcBorders>
          </w:tcPr>
          <w:p w14:paraId="695E7055" w14:textId="77777777" w:rsidR="00AC7964" w:rsidRPr="006E79EA" w:rsidRDefault="00AC7964" w:rsidP="00034539">
            <w:pPr>
              <w:pStyle w:val="ListParagraph"/>
              <w:ind w:left="0"/>
              <w:rPr>
                <w:sz w:val="18"/>
                <w:szCs w:val="18"/>
              </w:rPr>
            </w:pPr>
            <w:r w:rsidRPr="006E79EA">
              <w:rPr>
                <w:sz w:val="18"/>
                <w:szCs w:val="18"/>
              </w:rPr>
              <w:t>Contractual Matters</w:t>
            </w:r>
          </w:p>
        </w:tc>
        <w:tc>
          <w:tcPr>
            <w:tcW w:w="2693" w:type="dxa"/>
            <w:tcBorders>
              <w:bottom w:val="single" w:sz="4" w:space="0" w:color="auto"/>
            </w:tcBorders>
          </w:tcPr>
          <w:p w14:paraId="67084A9D" w14:textId="77777777" w:rsidR="00AC7964" w:rsidRPr="006E79EA" w:rsidRDefault="00AC7964" w:rsidP="00034539">
            <w:pPr>
              <w:pStyle w:val="ListParagraph"/>
              <w:ind w:left="0"/>
              <w:rPr>
                <w:sz w:val="18"/>
                <w:szCs w:val="18"/>
              </w:rPr>
            </w:pPr>
            <w:r w:rsidRPr="006E79EA">
              <w:rPr>
                <w:sz w:val="18"/>
                <w:szCs w:val="18"/>
              </w:rPr>
              <w:t>These items contain information relating to privacy and security matters</w:t>
            </w:r>
          </w:p>
        </w:tc>
        <w:tc>
          <w:tcPr>
            <w:tcW w:w="3067" w:type="dxa"/>
            <w:tcBorders>
              <w:bottom w:val="single" w:sz="4" w:space="0" w:color="auto"/>
            </w:tcBorders>
          </w:tcPr>
          <w:p w14:paraId="44234BCA" w14:textId="77777777" w:rsidR="00AC7964" w:rsidRPr="006E79EA" w:rsidRDefault="00AC7964" w:rsidP="00034539">
            <w:pPr>
              <w:pStyle w:val="ListParagraph"/>
              <w:ind w:left="0"/>
              <w:rPr>
                <w:sz w:val="18"/>
                <w:szCs w:val="18"/>
              </w:rPr>
            </w:pPr>
            <w:r w:rsidRPr="006E79EA">
              <w:rPr>
                <w:sz w:val="18"/>
                <w:szCs w:val="18"/>
              </w:rPr>
              <w:t>To protect private information and to prevent disclosure of information for improper gain or advantage (s7(2)(a) and 7(2)(j)).</w:t>
            </w:r>
          </w:p>
        </w:tc>
      </w:tr>
      <w:tr w:rsidR="00AC7964" w:rsidRPr="00574A6C" w14:paraId="6E9FE280" w14:textId="77777777" w:rsidTr="00034539">
        <w:tc>
          <w:tcPr>
            <w:tcW w:w="993" w:type="dxa"/>
            <w:tcBorders>
              <w:top w:val="single" w:sz="4" w:space="0" w:color="auto"/>
              <w:left w:val="nil"/>
              <w:bottom w:val="nil"/>
              <w:right w:val="nil"/>
            </w:tcBorders>
          </w:tcPr>
          <w:p w14:paraId="65BEA7BC" w14:textId="77777777" w:rsidR="00AC7964" w:rsidRPr="006E79EA" w:rsidRDefault="00AC7964" w:rsidP="00034539">
            <w:pPr>
              <w:pStyle w:val="ListParagraph"/>
              <w:ind w:left="0"/>
              <w:rPr>
                <w:sz w:val="18"/>
                <w:szCs w:val="18"/>
              </w:rPr>
            </w:pPr>
          </w:p>
        </w:tc>
        <w:tc>
          <w:tcPr>
            <w:tcW w:w="2268" w:type="dxa"/>
            <w:tcBorders>
              <w:top w:val="single" w:sz="4" w:space="0" w:color="auto"/>
              <w:left w:val="nil"/>
              <w:bottom w:val="nil"/>
              <w:right w:val="nil"/>
            </w:tcBorders>
          </w:tcPr>
          <w:p w14:paraId="5E35D21A" w14:textId="77777777" w:rsidR="00AC7964" w:rsidRPr="006E79EA" w:rsidRDefault="00AC7964" w:rsidP="00034539">
            <w:pPr>
              <w:pStyle w:val="ListParagraph"/>
              <w:ind w:left="0"/>
              <w:rPr>
                <w:sz w:val="18"/>
                <w:szCs w:val="18"/>
              </w:rPr>
            </w:pPr>
          </w:p>
        </w:tc>
        <w:tc>
          <w:tcPr>
            <w:tcW w:w="2693" w:type="dxa"/>
            <w:tcBorders>
              <w:top w:val="single" w:sz="4" w:space="0" w:color="auto"/>
              <w:left w:val="nil"/>
              <w:bottom w:val="nil"/>
              <w:right w:val="nil"/>
            </w:tcBorders>
          </w:tcPr>
          <w:p w14:paraId="51CA247C" w14:textId="77777777" w:rsidR="00AC7964" w:rsidRPr="006E79EA" w:rsidRDefault="00AC7964" w:rsidP="00034539">
            <w:pPr>
              <w:pStyle w:val="ListParagraph"/>
              <w:ind w:left="0"/>
              <w:rPr>
                <w:sz w:val="18"/>
                <w:szCs w:val="18"/>
              </w:rPr>
            </w:pPr>
          </w:p>
        </w:tc>
        <w:tc>
          <w:tcPr>
            <w:tcW w:w="3067" w:type="dxa"/>
            <w:tcBorders>
              <w:top w:val="single" w:sz="4" w:space="0" w:color="auto"/>
              <w:left w:val="nil"/>
              <w:bottom w:val="nil"/>
              <w:right w:val="nil"/>
            </w:tcBorders>
          </w:tcPr>
          <w:p w14:paraId="52E6783F" w14:textId="77777777" w:rsidR="00AC7964" w:rsidRPr="006E79EA" w:rsidRDefault="00AC7964" w:rsidP="00034539">
            <w:pPr>
              <w:pStyle w:val="ListParagraph"/>
              <w:ind w:left="0"/>
              <w:rPr>
                <w:sz w:val="18"/>
                <w:szCs w:val="18"/>
              </w:rPr>
            </w:pPr>
          </w:p>
        </w:tc>
      </w:tr>
      <w:tr w:rsidR="00AC7964" w:rsidRPr="00574A6C" w14:paraId="3066FAC2" w14:textId="77777777" w:rsidTr="00034539">
        <w:tc>
          <w:tcPr>
            <w:tcW w:w="993" w:type="dxa"/>
            <w:tcBorders>
              <w:top w:val="nil"/>
              <w:left w:val="nil"/>
              <w:bottom w:val="nil"/>
              <w:right w:val="nil"/>
            </w:tcBorders>
          </w:tcPr>
          <w:p w14:paraId="06C12BA2" w14:textId="77777777" w:rsidR="00AC7964" w:rsidRPr="006E79EA" w:rsidRDefault="00AC7964" w:rsidP="00034539">
            <w:pPr>
              <w:pStyle w:val="ListParagraph"/>
              <w:ind w:left="0"/>
              <w:rPr>
                <w:sz w:val="18"/>
                <w:szCs w:val="18"/>
              </w:rPr>
            </w:pPr>
          </w:p>
        </w:tc>
        <w:tc>
          <w:tcPr>
            <w:tcW w:w="2268" w:type="dxa"/>
            <w:tcBorders>
              <w:top w:val="nil"/>
              <w:left w:val="nil"/>
              <w:bottom w:val="nil"/>
              <w:right w:val="nil"/>
            </w:tcBorders>
          </w:tcPr>
          <w:p w14:paraId="3BB3A551" w14:textId="77777777" w:rsidR="00AC7964" w:rsidRPr="006E79EA" w:rsidRDefault="00AC7964" w:rsidP="00034539">
            <w:pPr>
              <w:pStyle w:val="ListParagraph"/>
              <w:ind w:left="0"/>
              <w:rPr>
                <w:sz w:val="18"/>
                <w:szCs w:val="18"/>
              </w:rPr>
            </w:pPr>
          </w:p>
        </w:tc>
        <w:tc>
          <w:tcPr>
            <w:tcW w:w="2693" w:type="dxa"/>
            <w:tcBorders>
              <w:top w:val="nil"/>
              <w:left w:val="nil"/>
              <w:bottom w:val="nil"/>
              <w:right w:val="nil"/>
            </w:tcBorders>
          </w:tcPr>
          <w:p w14:paraId="75D9E87E" w14:textId="77777777" w:rsidR="00AC7964" w:rsidRPr="006E79EA" w:rsidRDefault="00AC7964" w:rsidP="00034539">
            <w:pPr>
              <w:pStyle w:val="ListParagraph"/>
              <w:ind w:left="0"/>
              <w:rPr>
                <w:sz w:val="18"/>
                <w:szCs w:val="18"/>
              </w:rPr>
            </w:pPr>
          </w:p>
        </w:tc>
        <w:tc>
          <w:tcPr>
            <w:tcW w:w="3067" w:type="dxa"/>
            <w:tcBorders>
              <w:top w:val="nil"/>
              <w:left w:val="nil"/>
              <w:bottom w:val="nil"/>
              <w:right w:val="nil"/>
            </w:tcBorders>
          </w:tcPr>
          <w:p w14:paraId="43B92255" w14:textId="77777777" w:rsidR="00AC7964" w:rsidRPr="006E79EA" w:rsidRDefault="00AC7964" w:rsidP="00034539">
            <w:pPr>
              <w:pStyle w:val="ListParagraph"/>
              <w:ind w:left="0"/>
              <w:rPr>
                <w:sz w:val="18"/>
                <w:szCs w:val="18"/>
              </w:rPr>
            </w:pPr>
          </w:p>
        </w:tc>
      </w:tr>
      <w:tr w:rsidR="00AC7964" w:rsidRPr="006E79EA" w14:paraId="6E4D5ED9" w14:textId="77777777" w:rsidTr="00034539">
        <w:trPr>
          <w:trHeight w:val="1170"/>
        </w:trPr>
        <w:tc>
          <w:tcPr>
            <w:tcW w:w="993" w:type="dxa"/>
          </w:tcPr>
          <w:p w14:paraId="79AEC32F" w14:textId="77777777" w:rsidR="00AC7964" w:rsidRPr="006E79EA" w:rsidRDefault="00AC7964" w:rsidP="00034539">
            <w:pPr>
              <w:pStyle w:val="ListParagraph"/>
              <w:ind w:left="0"/>
              <w:rPr>
                <w:sz w:val="18"/>
                <w:szCs w:val="18"/>
              </w:rPr>
            </w:pPr>
            <w:r w:rsidRPr="006E79EA">
              <w:rPr>
                <w:sz w:val="18"/>
                <w:szCs w:val="18"/>
              </w:rPr>
              <w:t>1</w:t>
            </w:r>
            <w:r>
              <w:rPr>
                <w:sz w:val="18"/>
                <w:szCs w:val="18"/>
              </w:rPr>
              <w:t>0.4</w:t>
            </w:r>
            <w:r w:rsidRPr="006E79EA">
              <w:rPr>
                <w:sz w:val="18"/>
                <w:szCs w:val="18"/>
              </w:rPr>
              <w:t>-1</w:t>
            </w:r>
            <w:r>
              <w:rPr>
                <w:sz w:val="18"/>
                <w:szCs w:val="18"/>
              </w:rPr>
              <w:t>0.5.3</w:t>
            </w:r>
          </w:p>
        </w:tc>
        <w:tc>
          <w:tcPr>
            <w:tcW w:w="2268" w:type="dxa"/>
          </w:tcPr>
          <w:p w14:paraId="4082D2B1" w14:textId="77777777" w:rsidR="00AC7964" w:rsidRPr="006E79EA" w:rsidRDefault="00AC7964" w:rsidP="00034539">
            <w:pPr>
              <w:pStyle w:val="ListParagraph"/>
              <w:ind w:left="0"/>
              <w:rPr>
                <w:sz w:val="18"/>
                <w:szCs w:val="18"/>
              </w:rPr>
            </w:pPr>
            <w:r>
              <w:rPr>
                <w:sz w:val="18"/>
                <w:szCs w:val="18"/>
              </w:rPr>
              <w:t>Commercial Matters</w:t>
            </w:r>
          </w:p>
        </w:tc>
        <w:tc>
          <w:tcPr>
            <w:tcW w:w="2693" w:type="dxa"/>
          </w:tcPr>
          <w:p w14:paraId="75D9AA70" w14:textId="77777777" w:rsidR="00AC7964" w:rsidRPr="006E79EA" w:rsidRDefault="00AC7964" w:rsidP="00034539">
            <w:pPr>
              <w:pStyle w:val="ListParagraph"/>
              <w:ind w:left="0"/>
              <w:rPr>
                <w:sz w:val="18"/>
                <w:szCs w:val="18"/>
              </w:rPr>
            </w:pPr>
            <w:r w:rsidRPr="006E79EA">
              <w:rPr>
                <w:sz w:val="18"/>
                <w:szCs w:val="18"/>
              </w:rPr>
              <w:t>These items contain information relating to privacy and commercial matters</w:t>
            </w:r>
          </w:p>
        </w:tc>
        <w:tc>
          <w:tcPr>
            <w:tcW w:w="3067" w:type="dxa"/>
          </w:tcPr>
          <w:p w14:paraId="3A6C783C" w14:textId="77777777" w:rsidR="00AC7964" w:rsidRPr="006E79EA" w:rsidRDefault="00AC7964" w:rsidP="00034539">
            <w:pPr>
              <w:pStyle w:val="ListParagraph"/>
              <w:ind w:left="0"/>
              <w:rPr>
                <w:sz w:val="18"/>
                <w:szCs w:val="18"/>
              </w:rPr>
            </w:pPr>
            <w:r w:rsidRPr="006E79EA">
              <w:rPr>
                <w:sz w:val="18"/>
                <w:szCs w:val="18"/>
              </w:rPr>
              <w:t>To protect commercial and private information and to prevent disclosure of information for improper gain or advantage (s7(2)(a), s7(2)(b), and s7(2)(j)).</w:t>
            </w:r>
          </w:p>
        </w:tc>
      </w:tr>
    </w:tbl>
    <w:p w14:paraId="293CAEDB" w14:textId="77777777" w:rsidR="00AC7964" w:rsidRDefault="00AC7964" w:rsidP="00AC7964"/>
    <w:p w14:paraId="1B00EA08" w14:textId="46A17F93" w:rsidR="00AC7964" w:rsidRDefault="00AC7964" w:rsidP="00AC7964">
      <w:r w:rsidRPr="00AC7964">
        <w:rPr>
          <w:noProof/>
        </w:rPr>
        <w:drawing>
          <wp:inline distT="0" distB="0" distL="0" distR="0" wp14:anchorId="7CECFA42" wp14:editId="41C9DAE4">
            <wp:extent cx="2619375" cy="1095375"/>
            <wp:effectExtent l="0" t="0" r="9525" b="9525"/>
            <wp:docPr id="15994013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095375"/>
                    </a:xfrm>
                    <a:prstGeom prst="rect">
                      <a:avLst/>
                    </a:prstGeom>
                    <a:noFill/>
                    <a:ln>
                      <a:noFill/>
                    </a:ln>
                  </pic:spPr>
                </pic:pic>
              </a:graphicData>
            </a:graphic>
          </wp:inline>
        </w:drawing>
      </w:r>
    </w:p>
    <w:p w14:paraId="089BAE68" w14:textId="6F86FB41" w:rsidR="00AC7964" w:rsidRDefault="00AC7964" w:rsidP="00AC7964">
      <w:r>
        <w:t>……………………………………………………………………</w:t>
      </w:r>
    </w:p>
    <w:p w14:paraId="4BEFCBE7" w14:textId="727CD6E6" w:rsidR="00AC7964" w:rsidRDefault="00AC7964" w:rsidP="00AC7964">
      <w:r>
        <w:t>Peter Haddock 11/04/2023</w:t>
      </w:r>
    </w:p>
    <w:p w14:paraId="06A53FDE" w14:textId="77777777" w:rsidR="00AC7964" w:rsidRDefault="00AC7964" w:rsidP="00504DB8">
      <w:pPr>
        <w:spacing w:before="120" w:after="120" w:line="240" w:lineRule="auto"/>
        <w:ind w:left="284" w:hanging="284"/>
        <w:jc w:val="both"/>
      </w:pPr>
    </w:p>
    <w:p w14:paraId="07547B1A" w14:textId="77777777" w:rsidR="00AC7964" w:rsidRDefault="00AC7964" w:rsidP="00504DB8">
      <w:pPr>
        <w:spacing w:before="120" w:after="120" w:line="240" w:lineRule="auto"/>
        <w:ind w:left="284" w:hanging="284"/>
        <w:jc w:val="both"/>
      </w:pPr>
    </w:p>
    <w:p w14:paraId="00B65785" w14:textId="77777777" w:rsidR="00AC7964" w:rsidRDefault="00AC7964" w:rsidP="00504DB8">
      <w:pPr>
        <w:spacing w:before="120" w:after="120" w:line="240" w:lineRule="auto"/>
        <w:ind w:left="284" w:hanging="284"/>
        <w:jc w:val="both"/>
      </w:pPr>
    </w:p>
    <w:p w14:paraId="6314D7A5" w14:textId="77777777" w:rsidR="00AC7964" w:rsidRDefault="00AC7964" w:rsidP="00504DB8">
      <w:pPr>
        <w:spacing w:before="120" w:after="120" w:line="240" w:lineRule="auto"/>
        <w:ind w:left="284" w:hanging="284"/>
        <w:jc w:val="both"/>
      </w:pPr>
    </w:p>
    <w:p w14:paraId="23563959" w14:textId="77777777" w:rsidR="00AC7964" w:rsidRDefault="00AC7964" w:rsidP="00504DB8">
      <w:pPr>
        <w:spacing w:before="120" w:after="120" w:line="240" w:lineRule="auto"/>
        <w:ind w:left="284" w:hanging="284"/>
        <w:jc w:val="both"/>
      </w:pPr>
    </w:p>
    <w:p w14:paraId="3FD2D075" w14:textId="77777777" w:rsidR="00AC7964" w:rsidRDefault="00AC7964" w:rsidP="00504DB8">
      <w:pPr>
        <w:spacing w:before="120" w:after="120" w:line="240" w:lineRule="auto"/>
        <w:ind w:left="284" w:hanging="284"/>
        <w:jc w:val="both"/>
      </w:pPr>
    </w:p>
    <w:p w14:paraId="65E7C11B" w14:textId="77777777" w:rsidR="00AC7964" w:rsidRDefault="00AC7964" w:rsidP="00504DB8">
      <w:pPr>
        <w:spacing w:before="120" w:after="120" w:line="240" w:lineRule="auto"/>
        <w:ind w:left="284" w:hanging="284"/>
        <w:jc w:val="both"/>
        <w:rPr>
          <w:b/>
          <w:bCs/>
          <w:u w:val="single"/>
        </w:rPr>
      </w:pPr>
    </w:p>
    <w:p w14:paraId="1F86A766" w14:textId="77777777" w:rsidR="002B579B" w:rsidRPr="002B579B" w:rsidRDefault="002B579B" w:rsidP="00504DB8">
      <w:pPr>
        <w:spacing w:before="120" w:after="120" w:line="240" w:lineRule="auto"/>
        <w:jc w:val="both"/>
      </w:pPr>
    </w:p>
    <w:sectPr w:rsidR="002B579B" w:rsidRPr="002B5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2272B"/>
    <w:multiLevelType w:val="hybridMultilevel"/>
    <w:tmpl w:val="DEDC2B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9DE3838"/>
    <w:multiLevelType w:val="hybridMultilevel"/>
    <w:tmpl w:val="DBD8836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6F6F3FAB"/>
    <w:multiLevelType w:val="multilevel"/>
    <w:tmpl w:val="2EDABF6C"/>
    <w:lvl w:ilvl="0">
      <w:start w:val="1"/>
      <w:numFmt w:val="decimal"/>
      <w:lvlText w:val="%1."/>
      <w:lvlJc w:val="left"/>
      <w:pPr>
        <w:ind w:left="644" w:hanging="360"/>
      </w:pPr>
      <w:rPr>
        <w:rFonts w:hint="default"/>
        <w:b/>
        <w:bCs/>
      </w:rPr>
    </w:lvl>
    <w:lvl w:ilvl="1">
      <w:start w:val="2"/>
      <w:numFmt w:val="decimal"/>
      <w:isLgl/>
      <w:lvlText w:val="%1.%2"/>
      <w:lvlJc w:val="left"/>
      <w:pPr>
        <w:ind w:left="1080" w:hanging="360"/>
      </w:pPr>
      <w:rPr>
        <w:rFonts w:hint="default"/>
        <w:b/>
      </w:rPr>
    </w:lvl>
    <w:lvl w:ilvl="2">
      <w:start w:val="1"/>
      <w:numFmt w:val="decimal"/>
      <w:isLgl/>
      <w:lvlText w:val="%1.%2.%3"/>
      <w:lvlJc w:val="left"/>
      <w:pPr>
        <w:ind w:left="1876" w:hanging="720"/>
      </w:pPr>
      <w:rPr>
        <w:rFonts w:hint="default"/>
        <w:b/>
      </w:rPr>
    </w:lvl>
    <w:lvl w:ilvl="3">
      <w:start w:val="1"/>
      <w:numFmt w:val="decimal"/>
      <w:isLgl/>
      <w:lvlText w:val="%1.%2.%3.%4"/>
      <w:lvlJc w:val="left"/>
      <w:pPr>
        <w:ind w:left="2312" w:hanging="720"/>
      </w:pPr>
      <w:rPr>
        <w:rFonts w:hint="default"/>
        <w:b/>
      </w:rPr>
    </w:lvl>
    <w:lvl w:ilvl="4">
      <w:start w:val="1"/>
      <w:numFmt w:val="decimal"/>
      <w:isLgl/>
      <w:lvlText w:val="%1.%2.%3.%4.%5"/>
      <w:lvlJc w:val="left"/>
      <w:pPr>
        <w:ind w:left="3108" w:hanging="1080"/>
      </w:pPr>
      <w:rPr>
        <w:rFonts w:hint="default"/>
        <w:b/>
      </w:rPr>
    </w:lvl>
    <w:lvl w:ilvl="5">
      <w:start w:val="1"/>
      <w:numFmt w:val="decimal"/>
      <w:isLgl/>
      <w:lvlText w:val="%1.%2.%3.%4.%5.%6"/>
      <w:lvlJc w:val="left"/>
      <w:pPr>
        <w:ind w:left="3544" w:hanging="1080"/>
      </w:pPr>
      <w:rPr>
        <w:rFonts w:hint="default"/>
        <w:b/>
      </w:rPr>
    </w:lvl>
    <w:lvl w:ilvl="6">
      <w:start w:val="1"/>
      <w:numFmt w:val="decimal"/>
      <w:isLgl/>
      <w:lvlText w:val="%1.%2.%3.%4.%5.%6.%7"/>
      <w:lvlJc w:val="left"/>
      <w:pPr>
        <w:ind w:left="4340" w:hanging="1440"/>
      </w:pPr>
      <w:rPr>
        <w:rFonts w:hint="default"/>
        <w:b/>
      </w:rPr>
    </w:lvl>
    <w:lvl w:ilvl="7">
      <w:start w:val="1"/>
      <w:numFmt w:val="decimal"/>
      <w:isLgl/>
      <w:lvlText w:val="%1.%2.%3.%4.%5.%6.%7.%8"/>
      <w:lvlJc w:val="left"/>
      <w:pPr>
        <w:ind w:left="4776" w:hanging="1440"/>
      </w:pPr>
      <w:rPr>
        <w:rFonts w:hint="default"/>
        <w:b/>
      </w:rPr>
    </w:lvl>
    <w:lvl w:ilvl="8">
      <w:start w:val="1"/>
      <w:numFmt w:val="decimal"/>
      <w:isLgl/>
      <w:lvlText w:val="%1.%2.%3.%4.%5.%6.%7.%8.%9"/>
      <w:lvlJc w:val="left"/>
      <w:pPr>
        <w:ind w:left="5212" w:hanging="1440"/>
      </w:pPr>
      <w:rPr>
        <w:rFonts w:hint="default"/>
        <w:b/>
      </w:rPr>
    </w:lvl>
  </w:abstractNum>
  <w:num w:numId="1" w16cid:durableId="1599672745">
    <w:abstractNumId w:val="2"/>
  </w:num>
  <w:num w:numId="2" w16cid:durableId="710805191">
    <w:abstractNumId w:val="1"/>
  </w:num>
  <w:num w:numId="3" w16cid:durableId="181325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DD"/>
    <w:rsid w:val="00085195"/>
    <w:rsid w:val="002B165E"/>
    <w:rsid w:val="002B579B"/>
    <w:rsid w:val="004D267B"/>
    <w:rsid w:val="004F0B28"/>
    <w:rsid w:val="00504DB8"/>
    <w:rsid w:val="00532AAC"/>
    <w:rsid w:val="0053693C"/>
    <w:rsid w:val="006577AF"/>
    <w:rsid w:val="006D38EB"/>
    <w:rsid w:val="00732900"/>
    <w:rsid w:val="00766E35"/>
    <w:rsid w:val="007A27EA"/>
    <w:rsid w:val="007E67C1"/>
    <w:rsid w:val="0085739F"/>
    <w:rsid w:val="00887DD8"/>
    <w:rsid w:val="008E457F"/>
    <w:rsid w:val="008F0BAC"/>
    <w:rsid w:val="00AC7964"/>
    <w:rsid w:val="00AE3111"/>
    <w:rsid w:val="00B73B91"/>
    <w:rsid w:val="00C75909"/>
    <w:rsid w:val="00CF28DD"/>
    <w:rsid w:val="00D362AF"/>
    <w:rsid w:val="00D502E3"/>
    <w:rsid w:val="00D95DE6"/>
    <w:rsid w:val="00E13C6F"/>
    <w:rsid w:val="00FB32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9860"/>
  <w15:chartTrackingRefBased/>
  <w15:docId w15:val="{1FF46AD7-278B-40B7-B68E-06A81A1C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8D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DD"/>
    <w:pPr>
      <w:ind w:left="720"/>
      <w:contextualSpacing/>
    </w:pPr>
  </w:style>
  <w:style w:type="table" w:styleId="TableGrid">
    <w:name w:val="Table Grid"/>
    <w:basedOn w:val="TableNormal"/>
    <w:uiPriority w:val="39"/>
    <w:rsid w:val="00AC796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Kilkelly</dc:creator>
  <cp:keywords/>
  <dc:description/>
  <cp:lastModifiedBy>Rachel Harris</cp:lastModifiedBy>
  <cp:revision>2</cp:revision>
  <dcterms:created xsi:type="dcterms:W3CDTF">2023-04-17T00:17:00Z</dcterms:created>
  <dcterms:modified xsi:type="dcterms:W3CDTF">2023-04-17T00:17:00Z</dcterms:modified>
</cp:coreProperties>
</file>