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2C42F" w14:textId="283A34EA" w:rsidR="002674A5" w:rsidRPr="006338D4" w:rsidRDefault="000F45B9" w:rsidP="000F45B9">
      <w:pPr>
        <w:rPr>
          <w:rFonts w:ascii="Poppins" w:hAnsi="Poppins" w:cs="Poppins"/>
          <w:b/>
          <w:bCs/>
        </w:rPr>
      </w:pPr>
      <w:r w:rsidRPr="006338D4">
        <w:rPr>
          <w:rFonts w:ascii="Poppins" w:hAnsi="Poppins" w:cs="Poppins"/>
          <w:b/>
          <w:bCs/>
        </w:rPr>
        <w:t>S15</w:t>
      </w:r>
      <w:r w:rsidR="00741C06">
        <w:rPr>
          <w:rFonts w:ascii="Poppins" w:hAnsi="Poppins" w:cs="Poppins"/>
          <w:b/>
          <w:bCs/>
        </w:rPr>
        <w:t xml:space="preserve"> OSWW</w:t>
      </w:r>
      <w:r w:rsidRPr="006338D4">
        <w:rPr>
          <w:rFonts w:ascii="Poppins" w:hAnsi="Poppins" w:cs="Poppins"/>
          <w:b/>
          <w:bCs/>
        </w:rPr>
        <w:t xml:space="preserve"> Discharge of contaminants to </w:t>
      </w:r>
      <w:r w:rsidR="008F52D1" w:rsidRPr="006338D4">
        <w:rPr>
          <w:rFonts w:ascii="Poppins" w:hAnsi="Poppins" w:cs="Poppins"/>
          <w:b/>
          <w:bCs/>
        </w:rPr>
        <w:t>land</w:t>
      </w:r>
    </w:p>
    <w:tbl>
      <w:tblPr>
        <w:tblStyle w:val="TableGrid"/>
        <w:tblW w:w="0" w:type="auto"/>
        <w:tblLook w:val="04A0" w:firstRow="1" w:lastRow="0" w:firstColumn="1" w:lastColumn="0" w:noHBand="0" w:noVBand="1"/>
      </w:tblPr>
      <w:tblGrid>
        <w:gridCol w:w="5433"/>
        <w:gridCol w:w="3917"/>
      </w:tblGrid>
      <w:tr w:rsidR="00116AB5" w:rsidRPr="006338D4" w14:paraId="715F8863" w14:textId="0A5C0F22" w:rsidTr="004F37E1">
        <w:tc>
          <w:tcPr>
            <w:tcW w:w="9350" w:type="dxa"/>
            <w:gridSpan w:val="2"/>
          </w:tcPr>
          <w:p w14:paraId="08BD4101" w14:textId="1C245E15" w:rsidR="00116AB5" w:rsidRPr="006338D4" w:rsidRDefault="00116AB5" w:rsidP="00116AB5">
            <w:pPr>
              <w:jc w:val="center"/>
              <w:rPr>
                <w:rFonts w:ascii="Poppins" w:hAnsi="Poppins" w:cs="Poppins"/>
                <w:b/>
                <w:bCs/>
              </w:rPr>
            </w:pPr>
            <w:r w:rsidRPr="006338D4">
              <w:rPr>
                <w:rFonts w:ascii="Poppins" w:hAnsi="Poppins" w:cs="Poppins"/>
                <w:b/>
                <w:bCs/>
              </w:rPr>
              <w:t>CHAPTER 13. LIQUID CONTAMINANTS</w:t>
            </w:r>
          </w:p>
        </w:tc>
      </w:tr>
      <w:tr w:rsidR="003E0D85" w:rsidRPr="006338D4" w14:paraId="4878E06C" w14:textId="73562B9E" w:rsidTr="003E0D85">
        <w:tc>
          <w:tcPr>
            <w:tcW w:w="5433" w:type="dxa"/>
          </w:tcPr>
          <w:p w14:paraId="089EA050" w14:textId="097ACDE0" w:rsidR="003E0D85" w:rsidRPr="006338D4" w:rsidRDefault="003E0D85" w:rsidP="00116AB5">
            <w:pPr>
              <w:tabs>
                <w:tab w:val="left" w:pos="3149"/>
              </w:tabs>
              <w:jc w:val="center"/>
              <w:rPr>
                <w:rFonts w:ascii="Poppins" w:hAnsi="Poppins" w:cs="Poppins"/>
                <w:b/>
                <w:bCs/>
              </w:rPr>
            </w:pPr>
            <w:r w:rsidRPr="006338D4">
              <w:rPr>
                <w:rFonts w:ascii="Poppins" w:hAnsi="Poppins" w:cs="Poppins"/>
                <w:b/>
                <w:bCs/>
              </w:rPr>
              <w:t>OBJECTIVE</w:t>
            </w:r>
          </w:p>
        </w:tc>
        <w:tc>
          <w:tcPr>
            <w:tcW w:w="3917" w:type="dxa"/>
          </w:tcPr>
          <w:p w14:paraId="4BD44B8D" w14:textId="276EB188" w:rsidR="003E0D85" w:rsidRPr="006338D4" w:rsidRDefault="00F311E8" w:rsidP="000675A4">
            <w:pPr>
              <w:tabs>
                <w:tab w:val="left" w:pos="3149"/>
              </w:tabs>
              <w:jc w:val="center"/>
              <w:rPr>
                <w:rFonts w:ascii="Poppins" w:hAnsi="Poppins" w:cs="Poppins"/>
                <w:b/>
                <w:bCs/>
              </w:rPr>
            </w:pPr>
            <w:r w:rsidRPr="006338D4">
              <w:rPr>
                <w:rFonts w:ascii="Poppins" w:hAnsi="Poppins" w:cs="Poppins"/>
                <w:b/>
                <w:bCs/>
              </w:rPr>
              <w:t>Assessment</w:t>
            </w:r>
          </w:p>
        </w:tc>
      </w:tr>
      <w:tr w:rsidR="003E0D85" w:rsidRPr="006338D4" w14:paraId="046B4FF9" w14:textId="483311A9" w:rsidTr="003E0D85">
        <w:tc>
          <w:tcPr>
            <w:tcW w:w="5433" w:type="dxa"/>
          </w:tcPr>
          <w:p w14:paraId="487F044E" w14:textId="77777777" w:rsidR="003E0D85" w:rsidRDefault="003E0D85" w:rsidP="00116AB5">
            <w:pPr>
              <w:tabs>
                <w:tab w:val="left" w:pos="3149"/>
              </w:tabs>
              <w:rPr>
                <w:rFonts w:ascii="Poppins" w:hAnsi="Poppins" w:cs="Poppins"/>
              </w:rPr>
            </w:pPr>
            <w:r w:rsidRPr="006338D4">
              <w:rPr>
                <w:rFonts w:ascii="Poppins" w:hAnsi="Poppins" w:cs="Poppins"/>
              </w:rPr>
              <w:t>13.2.1 To ensure that the adverse effects from the discharge of liquid contaminants into or onto land, on water and soil quality, social, cultural, and amenity values, and human health are avoided, remedied, or mitigated.</w:t>
            </w:r>
          </w:p>
          <w:p w14:paraId="44AC3B95" w14:textId="77777777" w:rsidR="00BB2765" w:rsidRDefault="00BB2765" w:rsidP="00116AB5">
            <w:pPr>
              <w:tabs>
                <w:tab w:val="left" w:pos="3149"/>
              </w:tabs>
              <w:rPr>
                <w:rFonts w:ascii="Poppins" w:hAnsi="Poppins" w:cs="Poppins"/>
              </w:rPr>
            </w:pPr>
          </w:p>
          <w:p w14:paraId="452EE1C3" w14:textId="77777777" w:rsidR="00BB2765" w:rsidRDefault="00BB2765" w:rsidP="00116AB5">
            <w:pPr>
              <w:tabs>
                <w:tab w:val="left" w:pos="3149"/>
              </w:tabs>
              <w:rPr>
                <w:rFonts w:ascii="Poppins" w:hAnsi="Poppins" w:cs="Poppins"/>
              </w:rPr>
            </w:pPr>
          </w:p>
          <w:p w14:paraId="17F09AB2" w14:textId="145D4F3F" w:rsidR="00BB2765" w:rsidRPr="006338D4" w:rsidRDefault="00BB2765" w:rsidP="00116AB5">
            <w:pPr>
              <w:tabs>
                <w:tab w:val="left" w:pos="3149"/>
              </w:tabs>
              <w:rPr>
                <w:rFonts w:ascii="Poppins" w:hAnsi="Poppins" w:cs="Poppins"/>
              </w:rPr>
            </w:pPr>
          </w:p>
        </w:tc>
        <w:tc>
          <w:tcPr>
            <w:tcW w:w="3917" w:type="dxa"/>
          </w:tcPr>
          <w:p w14:paraId="6A395775" w14:textId="77777777" w:rsidR="003E0D85" w:rsidRPr="006338D4" w:rsidRDefault="003E0D85" w:rsidP="005A07C2">
            <w:pPr>
              <w:tabs>
                <w:tab w:val="left" w:pos="3149"/>
              </w:tabs>
              <w:rPr>
                <w:rFonts w:ascii="Poppins" w:hAnsi="Poppins" w:cs="Poppins"/>
              </w:rPr>
            </w:pPr>
          </w:p>
        </w:tc>
      </w:tr>
      <w:tr w:rsidR="003E0D85" w:rsidRPr="006338D4" w14:paraId="06CD3465" w14:textId="6D374744" w:rsidTr="003E0D85">
        <w:tc>
          <w:tcPr>
            <w:tcW w:w="5433" w:type="dxa"/>
          </w:tcPr>
          <w:p w14:paraId="5AE7B9BB" w14:textId="51B48EFC" w:rsidR="003E0D85" w:rsidRPr="006338D4" w:rsidRDefault="003E0D85" w:rsidP="00116AB5">
            <w:pPr>
              <w:tabs>
                <w:tab w:val="left" w:pos="3149"/>
              </w:tabs>
              <w:jc w:val="center"/>
              <w:rPr>
                <w:rFonts w:ascii="Poppins" w:hAnsi="Poppins" w:cs="Poppins"/>
                <w:b/>
                <w:bCs/>
              </w:rPr>
            </w:pPr>
            <w:r w:rsidRPr="006338D4">
              <w:rPr>
                <w:rFonts w:ascii="Poppins" w:hAnsi="Poppins" w:cs="Poppins"/>
                <w:b/>
                <w:bCs/>
              </w:rPr>
              <w:lastRenderedPageBreak/>
              <w:t>POLICY</w:t>
            </w:r>
          </w:p>
        </w:tc>
        <w:tc>
          <w:tcPr>
            <w:tcW w:w="3917" w:type="dxa"/>
          </w:tcPr>
          <w:p w14:paraId="7CB5FD07" w14:textId="77777777" w:rsidR="003E0D85" w:rsidRPr="006338D4" w:rsidRDefault="003E0D85" w:rsidP="005D05E1">
            <w:pPr>
              <w:tabs>
                <w:tab w:val="left" w:pos="3149"/>
              </w:tabs>
              <w:jc w:val="center"/>
              <w:rPr>
                <w:rFonts w:ascii="Poppins" w:hAnsi="Poppins" w:cs="Poppins"/>
                <w:b/>
                <w:bCs/>
              </w:rPr>
            </w:pPr>
          </w:p>
        </w:tc>
      </w:tr>
      <w:tr w:rsidR="003E0D85" w:rsidRPr="006338D4" w14:paraId="5709EF01" w14:textId="00C8CDE7" w:rsidTr="003E0D85">
        <w:tc>
          <w:tcPr>
            <w:tcW w:w="5433" w:type="dxa"/>
          </w:tcPr>
          <w:p w14:paraId="05B39FE6" w14:textId="6B7AE2A9" w:rsidR="00075F19" w:rsidRPr="006338D4" w:rsidRDefault="003E0D85" w:rsidP="006338D4">
            <w:pPr>
              <w:tabs>
                <w:tab w:val="left" w:pos="3149"/>
              </w:tabs>
              <w:rPr>
                <w:rFonts w:ascii="Poppins" w:hAnsi="Poppins" w:cs="Poppins"/>
              </w:rPr>
            </w:pPr>
            <w:r w:rsidRPr="006338D4">
              <w:rPr>
                <w:rFonts w:ascii="Poppins" w:hAnsi="Poppins" w:cs="Poppins"/>
              </w:rPr>
              <w:t xml:space="preserve">13.3.1 To ensure that the discharge of liquid contaminants into or onto land is of a nature or at a rate that does not exceed the ability of the land to assimilate the </w:t>
            </w:r>
            <w:proofErr w:type="gramStart"/>
            <w:r w:rsidRPr="006338D4">
              <w:rPr>
                <w:rFonts w:ascii="Poppins" w:hAnsi="Poppins" w:cs="Poppins"/>
              </w:rPr>
              <w:t>contaminant, and</w:t>
            </w:r>
            <w:proofErr w:type="gramEnd"/>
            <w:r w:rsidRPr="006338D4">
              <w:rPr>
                <w:rFonts w:ascii="Poppins" w:hAnsi="Poppins" w:cs="Poppins"/>
              </w:rPr>
              <w:t xml:space="preserve"> does not result in soil contamination.</w:t>
            </w:r>
          </w:p>
        </w:tc>
        <w:tc>
          <w:tcPr>
            <w:tcW w:w="3917" w:type="dxa"/>
          </w:tcPr>
          <w:p w14:paraId="328FD7CF" w14:textId="77777777" w:rsidR="003E0D85" w:rsidRPr="006338D4" w:rsidRDefault="003E0D85" w:rsidP="005A07C2">
            <w:pPr>
              <w:tabs>
                <w:tab w:val="left" w:pos="3149"/>
              </w:tabs>
              <w:rPr>
                <w:rFonts w:ascii="Poppins" w:hAnsi="Poppins" w:cs="Poppins"/>
              </w:rPr>
            </w:pPr>
          </w:p>
        </w:tc>
      </w:tr>
    </w:tbl>
    <w:p w14:paraId="0C024DA6" w14:textId="77777777" w:rsidR="00510501" w:rsidRPr="006338D4" w:rsidRDefault="00510501">
      <w:pPr>
        <w:rPr>
          <w:rFonts w:ascii="Poppins" w:hAnsi="Poppins" w:cs="Poppins"/>
        </w:rPr>
      </w:pPr>
    </w:p>
    <w:sectPr w:rsidR="00510501" w:rsidRPr="006338D4" w:rsidSect="00154D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1BE33" w14:textId="77777777" w:rsidR="0078079F" w:rsidRDefault="0078079F" w:rsidP="00EA5F66">
      <w:pPr>
        <w:spacing w:after="0" w:line="240" w:lineRule="auto"/>
      </w:pPr>
      <w:r>
        <w:separator/>
      </w:r>
    </w:p>
  </w:endnote>
  <w:endnote w:type="continuationSeparator" w:id="0">
    <w:p w14:paraId="7D8C31CD" w14:textId="77777777" w:rsidR="0078079F" w:rsidRDefault="0078079F" w:rsidP="00EA5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000E1" w14:textId="77777777" w:rsidR="0078079F" w:rsidRDefault="0078079F" w:rsidP="00EA5F66">
      <w:pPr>
        <w:spacing w:after="0" w:line="240" w:lineRule="auto"/>
      </w:pPr>
      <w:r>
        <w:separator/>
      </w:r>
    </w:p>
  </w:footnote>
  <w:footnote w:type="continuationSeparator" w:id="0">
    <w:p w14:paraId="48B19BB7" w14:textId="77777777" w:rsidR="0078079F" w:rsidRDefault="0078079F" w:rsidP="00EA5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0159" w14:textId="77777777" w:rsidR="00BE3701" w:rsidRDefault="00BE3701" w:rsidP="00BE3701">
    <w:pPr>
      <w:pStyle w:val="Header"/>
    </w:pPr>
    <w:r w:rsidRPr="004A78A4">
      <w:rPr>
        <w:rFonts w:ascii="Arial" w:eastAsia="Arial" w:hAnsi="Arial" w:cs="Arial"/>
        <w:noProof/>
        <w:sz w:val="24"/>
      </w:rPr>
      <mc:AlternateContent>
        <mc:Choice Requires="wps">
          <w:drawing>
            <wp:anchor distT="0" distB="0" distL="114300" distR="114300" simplePos="0" relativeHeight="251659264" behindDoc="0" locked="0" layoutInCell="1" allowOverlap="1" wp14:anchorId="5625E4FC" wp14:editId="06CE6E65">
              <wp:simplePos x="0" y="0"/>
              <wp:positionH relativeFrom="column">
                <wp:posOffset>-695325</wp:posOffset>
              </wp:positionH>
              <wp:positionV relativeFrom="paragraph">
                <wp:posOffset>-266700</wp:posOffset>
              </wp:positionV>
              <wp:extent cx="3800475" cy="560705"/>
              <wp:effectExtent l="0" t="0" r="0" b="0"/>
              <wp:wrapNone/>
              <wp:docPr id="78" name="Rectangle 1"/>
              <wp:cNvGraphicFramePr/>
              <a:graphic xmlns:a="http://schemas.openxmlformats.org/drawingml/2006/main">
                <a:graphicData uri="http://schemas.microsoft.com/office/word/2010/wordprocessingShape">
                  <wps:wsp>
                    <wps:cNvSpPr/>
                    <wps:spPr>
                      <a:xfrm>
                        <a:off x="0" y="0"/>
                        <a:ext cx="3800475" cy="560705"/>
                      </a:xfrm>
                      <a:prstGeom prst="rect">
                        <a:avLst/>
                      </a:prstGeom>
                      <a:ln>
                        <a:noFill/>
                      </a:ln>
                    </wps:spPr>
                    <wps:txbx>
                      <w:txbxContent>
                        <w:p w14:paraId="1E4F4D78" w14:textId="77777777" w:rsidR="00BE3701" w:rsidRDefault="00BE3701" w:rsidP="00BE3701">
                          <w:pPr>
                            <w:spacing w:after="0"/>
                            <w:rPr>
                              <w:rFonts w:ascii="Poppins" w:hAnsi="Poppins" w:cs="Poppins"/>
                              <w:color w:val="FFFFFF"/>
                              <w:sz w:val="16"/>
                            </w:rPr>
                          </w:pPr>
                          <w:r w:rsidRPr="00994599">
                            <w:rPr>
                              <w:rFonts w:ascii="Poppins" w:hAnsi="Poppins" w:cs="Poppins"/>
                              <w:color w:val="FFFFFF"/>
                              <w:sz w:val="16"/>
                            </w:rPr>
                            <w:t>R E S O U R C E   C O N S E N T S</w:t>
                          </w:r>
                          <w:r>
                            <w:rPr>
                              <w:rFonts w:ascii="Poppins" w:hAnsi="Poppins" w:cs="Poppins"/>
                              <w:color w:val="FFFFFF"/>
                              <w:sz w:val="16"/>
                            </w:rPr>
                            <w:t xml:space="preserve"> – Policy Assessment form – </w:t>
                          </w:r>
                        </w:p>
                        <w:p w14:paraId="635BAE5D" w14:textId="53648A19" w:rsidR="00BE3701" w:rsidRPr="00994599" w:rsidRDefault="00BE3701" w:rsidP="00BE3701">
                          <w:pPr>
                            <w:spacing w:after="0"/>
                            <w:rPr>
                              <w:rFonts w:ascii="Poppins" w:hAnsi="Poppins" w:cs="Poppins"/>
                            </w:rPr>
                          </w:pPr>
                          <w:r>
                            <w:rPr>
                              <w:rFonts w:ascii="Poppins" w:hAnsi="Poppins" w:cs="Poppins"/>
                              <w:color w:val="FFFFFF"/>
                              <w:sz w:val="16"/>
                            </w:rPr>
                            <w:t>s15 Discharge of contaminants to land</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625E4FC" id="Rectangle 1" o:spid="_x0000_s1026" style="position:absolute;margin-left:-54.75pt;margin-top:-21pt;width:299.25pt;height:4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" filled="f" stroked="f">
              <v:textbox inset="0,0,0,0">
                <w:txbxContent>
                  <w:p w14:paraId="1E4F4D78" w14:textId="77777777" w:rsidR="00BE3701" w:rsidRDefault="00BE3701" w:rsidP="00BE3701">
                    <w:pPr>
                      <w:spacing w:after="0"/>
                      <w:rPr>
                        <w:rFonts w:ascii="Poppins" w:hAnsi="Poppins" w:cs="Poppins"/>
                        <w:color w:val="FFFFFF"/>
                        <w:sz w:val="16"/>
                      </w:rPr>
                    </w:pPr>
                    <w:r w:rsidRPr="00994599">
                      <w:rPr>
                        <w:rFonts w:ascii="Poppins" w:hAnsi="Poppins" w:cs="Poppins"/>
                        <w:color w:val="FFFFFF"/>
                        <w:sz w:val="16"/>
                      </w:rPr>
                      <w:t>R E S O U R C E   C O N S E N T S</w:t>
                    </w:r>
                    <w:r>
                      <w:rPr>
                        <w:rFonts w:ascii="Poppins" w:hAnsi="Poppins" w:cs="Poppins"/>
                        <w:color w:val="FFFFFF"/>
                        <w:sz w:val="16"/>
                      </w:rPr>
                      <w:t xml:space="preserve"> – Policy Assessment form – </w:t>
                    </w:r>
                  </w:p>
                  <w:p w14:paraId="635BAE5D" w14:textId="53648A19" w:rsidR="00BE3701" w:rsidRPr="00994599" w:rsidRDefault="00BE3701" w:rsidP="00BE3701">
                    <w:pPr>
                      <w:spacing w:after="0"/>
                      <w:rPr>
                        <w:rFonts w:ascii="Poppins" w:hAnsi="Poppins" w:cs="Poppins"/>
                      </w:rPr>
                    </w:pPr>
                    <w:r>
                      <w:rPr>
                        <w:rFonts w:ascii="Poppins" w:hAnsi="Poppins" w:cs="Poppins"/>
                        <w:color w:val="FFFFFF"/>
                        <w:sz w:val="16"/>
                      </w:rPr>
                      <w:t xml:space="preserve">s15 Discharge of contaminants </w:t>
                    </w:r>
                    <w:r>
                      <w:rPr>
                        <w:rFonts w:ascii="Poppins" w:hAnsi="Poppins" w:cs="Poppins"/>
                        <w:color w:val="FFFFFF"/>
                        <w:sz w:val="16"/>
                      </w:rPr>
                      <w:t>to land</w:t>
                    </w:r>
                  </w:p>
                </w:txbxContent>
              </v:textbox>
            </v:rect>
          </w:pict>
        </mc:Fallback>
      </mc:AlternateContent>
    </w:r>
    <w:r w:rsidRPr="005754D3">
      <w:rPr>
        <w:rFonts w:ascii="Calibri Light" w:hAnsi="Calibri Light" w:cs="Calibri Light"/>
        <w:noProof/>
        <w:sz w:val="28"/>
        <w:szCs w:val="28"/>
      </w:rPr>
      <w:drawing>
        <wp:anchor distT="0" distB="0" distL="114300" distR="114300" simplePos="0" relativeHeight="251660288" behindDoc="1" locked="0" layoutInCell="1" allowOverlap="1" wp14:anchorId="386DB9CF" wp14:editId="647E1EFA">
          <wp:simplePos x="0" y="0"/>
          <wp:positionH relativeFrom="page">
            <wp:align>left</wp:align>
          </wp:positionH>
          <wp:positionV relativeFrom="paragraph">
            <wp:posOffset>-466725</wp:posOffset>
          </wp:positionV>
          <wp:extent cx="7781925" cy="885190"/>
          <wp:effectExtent l="19050" t="19050" r="28575"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781925"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2085">
      <w:rPr>
        <w:noProof/>
        <w:sz w:val="28"/>
        <w:szCs w:val="28"/>
      </w:rPr>
      <w:drawing>
        <wp:anchor distT="0" distB="0" distL="114300" distR="114300" simplePos="0" relativeHeight="251661312" behindDoc="1" locked="0" layoutInCell="1" allowOverlap="1" wp14:anchorId="5577426C" wp14:editId="5B3C0EC3">
          <wp:simplePos x="0" y="0"/>
          <wp:positionH relativeFrom="page">
            <wp:posOffset>5114925</wp:posOffset>
          </wp:positionH>
          <wp:positionV relativeFrom="paragraph">
            <wp:posOffset>-287655</wp:posOffset>
          </wp:positionV>
          <wp:extent cx="2374872"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2" cstate="print">
                    <a:extLst>
                      <a:ext uri="{28A0092B-C50C-407E-A947-70E740481C1C}">
                        <a14:useLocalDpi xmlns:a14="http://schemas.microsoft.com/office/drawing/2010/main" val="0"/>
                      </a:ext>
                    </a:extLst>
                  </a:blip>
                  <a:srcRect l="1244" t="10984" b="-1"/>
                  <a:stretch/>
                </pic:blipFill>
                <pic:spPr bwMode="auto">
                  <a:xfrm>
                    <a:off x="0" y="0"/>
                    <a:ext cx="2374872"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698BD2" w14:textId="77777777" w:rsidR="00BE3701" w:rsidRDefault="00BE3701" w:rsidP="00BE3701">
    <w:pPr>
      <w:pStyle w:val="Header"/>
    </w:pPr>
  </w:p>
  <w:p w14:paraId="6594D25B" w14:textId="48DDCEBC" w:rsidR="00EA5F66" w:rsidRPr="00BE3701" w:rsidRDefault="00EA5F66" w:rsidP="00BE37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7E4"/>
    <w:multiLevelType w:val="hybridMultilevel"/>
    <w:tmpl w:val="C8AE734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51E392A"/>
    <w:multiLevelType w:val="hybridMultilevel"/>
    <w:tmpl w:val="B83A191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50D79A5"/>
    <w:multiLevelType w:val="hybridMultilevel"/>
    <w:tmpl w:val="357C413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FD75DBB"/>
    <w:multiLevelType w:val="hybridMultilevel"/>
    <w:tmpl w:val="FBA2345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42A342F"/>
    <w:multiLevelType w:val="hybridMultilevel"/>
    <w:tmpl w:val="E59E866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8CB6510"/>
    <w:multiLevelType w:val="hybridMultilevel"/>
    <w:tmpl w:val="986E1B4C"/>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B107244"/>
    <w:multiLevelType w:val="hybridMultilevel"/>
    <w:tmpl w:val="D19E3DA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5415FC6"/>
    <w:multiLevelType w:val="hybridMultilevel"/>
    <w:tmpl w:val="05F4B862"/>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592530E6"/>
    <w:multiLevelType w:val="hybridMultilevel"/>
    <w:tmpl w:val="9F88A0D6"/>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F4D6703"/>
    <w:multiLevelType w:val="hybridMultilevel"/>
    <w:tmpl w:val="FA34334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7E51219"/>
    <w:multiLevelType w:val="hybridMultilevel"/>
    <w:tmpl w:val="61B8376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C820E1D"/>
    <w:multiLevelType w:val="hybridMultilevel"/>
    <w:tmpl w:val="66A6760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F2D5B3E"/>
    <w:multiLevelType w:val="hybridMultilevel"/>
    <w:tmpl w:val="2A18552C"/>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0DF66E2"/>
    <w:multiLevelType w:val="hybridMultilevel"/>
    <w:tmpl w:val="94446CC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76556E49"/>
    <w:multiLevelType w:val="hybridMultilevel"/>
    <w:tmpl w:val="4A28399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77E14A48"/>
    <w:multiLevelType w:val="hybridMultilevel"/>
    <w:tmpl w:val="C23ACF2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52001921">
    <w:abstractNumId w:val="7"/>
  </w:num>
  <w:num w:numId="2" w16cid:durableId="350303395">
    <w:abstractNumId w:val="2"/>
  </w:num>
  <w:num w:numId="3" w16cid:durableId="458114585">
    <w:abstractNumId w:val="15"/>
  </w:num>
  <w:num w:numId="4" w16cid:durableId="1352418958">
    <w:abstractNumId w:val="4"/>
  </w:num>
  <w:num w:numId="5" w16cid:durableId="1131555394">
    <w:abstractNumId w:val="12"/>
  </w:num>
  <w:num w:numId="6" w16cid:durableId="1799906530">
    <w:abstractNumId w:val="9"/>
  </w:num>
  <w:num w:numId="7" w16cid:durableId="245845983">
    <w:abstractNumId w:val="13"/>
  </w:num>
  <w:num w:numId="8" w16cid:durableId="929391741">
    <w:abstractNumId w:val="1"/>
  </w:num>
  <w:num w:numId="9" w16cid:durableId="410003731">
    <w:abstractNumId w:val="11"/>
  </w:num>
  <w:num w:numId="10" w16cid:durableId="1832330836">
    <w:abstractNumId w:val="10"/>
  </w:num>
  <w:num w:numId="11" w16cid:durableId="2021659493">
    <w:abstractNumId w:val="6"/>
  </w:num>
  <w:num w:numId="12" w16cid:durableId="686905419">
    <w:abstractNumId w:val="3"/>
  </w:num>
  <w:num w:numId="13" w16cid:durableId="2017925534">
    <w:abstractNumId w:val="0"/>
  </w:num>
  <w:num w:numId="14" w16cid:durableId="1354764833">
    <w:abstractNumId w:val="5"/>
  </w:num>
  <w:num w:numId="15" w16cid:durableId="815418455">
    <w:abstractNumId w:val="14"/>
  </w:num>
  <w:num w:numId="16" w16cid:durableId="10018156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5B9"/>
    <w:rsid w:val="000664E6"/>
    <w:rsid w:val="000675A4"/>
    <w:rsid w:val="00075F19"/>
    <w:rsid w:val="00081757"/>
    <w:rsid w:val="000F45B9"/>
    <w:rsid w:val="00116AB5"/>
    <w:rsid w:val="00146CA6"/>
    <w:rsid w:val="00154D89"/>
    <w:rsid w:val="001A1F28"/>
    <w:rsid w:val="00254040"/>
    <w:rsid w:val="002674A5"/>
    <w:rsid w:val="00281E70"/>
    <w:rsid w:val="002C05DF"/>
    <w:rsid w:val="002D3736"/>
    <w:rsid w:val="003246E6"/>
    <w:rsid w:val="00352817"/>
    <w:rsid w:val="003E0D85"/>
    <w:rsid w:val="004B0246"/>
    <w:rsid w:val="00510501"/>
    <w:rsid w:val="005A07C2"/>
    <w:rsid w:val="005C73A0"/>
    <w:rsid w:val="005D05E1"/>
    <w:rsid w:val="005D6366"/>
    <w:rsid w:val="00620588"/>
    <w:rsid w:val="0063089D"/>
    <w:rsid w:val="006338D4"/>
    <w:rsid w:val="00636BAF"/>
    <w:rsid w:val="0068037C"/>
    <w:rsid w:val="00741C06"/>
    <w:rsid w:val="00750AB7"/>
    <w:rsid w:val="00752AA7"/>
    <w:rsid w:val="0078079F"/>
    <w:rsid w:val="00797CEE"/>
    <w:rsid w:val="0083337E"/>
    <w:rsid w:val="008B0574"/>
    <w:rsid w:val="008B216B"/>
    <w:rsid w:val="008F52D1"/>
    <w:rsid w:val="00923F18"/>
    <w:rsid w:val="009425C2"/>
    <w:rsid w:val="00950F47"/>
    <w:rsid w:val="009A7BD8"/>
    <w:rsid w:val="00A10AA0"/>
    <w:rsid w:val="00B04670"/>
    <w:rsid w:val="00B40237"/>
    <w:rsid w:val="00B4245A"/>
    <w:rsid w:val="00B4527F"/>
    <w:rsid w:val="00BB2765"/>
    <w:rsid w:val="00BC12F0"/>
    <w:rsid w:val="00BE3701"/>
    <w:rsid w:val="00C0114C"/>
    <w:rsid w:val="00C26A37"/>
    <w:rsid w:val="00C3797B"/>
    <w:rsid w:val="00C407D8"/>
    <w:rsid w:val="00C426FA"/>
    <w:rsid w:val="00C42930"/>
    <w:rsid w:val="00D00930"/>
    <w:rsid w:val="00DA0252"/>
    <w:rsid w:val="00E36484"/>
    <w:rsid w:val="00E72CEB"/>
    <w:rsid w:val="00E92AF1"/>
    <w:rsid w:val="00EA5F66"/>
    <w:rsid w:val="00EE7C4B"/>
    <w:rsid w:val="00F311E8"/>
    <w:rsid w:val="00FB49DC"/>
    <w:rsid w:val="00FD24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D17E6"/>
  <w15:chartTrackingRefBased/>
  <w15:docId w15:val="{ABD1DC54-A90F-42A1-8476-296FB225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5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5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5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5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5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5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5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5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5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5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5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5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5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5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5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5B9"/>
    <w:rPr>
      <w:rFonts w:eastAsiaTheme="majorEastAsia" w:cstheme="majorBidi"/>
      <w:color w:val="272727" w:themeColor="text1" w:themeTint="D8"/>
    </w:rPr>
  </w:style>
  <w:style w:type="paragraph" w:styleId="Title">
    <w:name w:val="Title"/>
    <w:basedOn w:val="Normal"/>
    <w:next w:val="Normal"/>
    <w:link w:val="TitleChar"/>
    <w:uiPriority w:val="10"/>
    <w:qFormat/>
    <w:rsid w:val="000F4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5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5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5B9"/>
    <w:pPr>
      <w:spacing w:before="160"/>
      <w:jc w:val="center"/>
    </w:pPr>
    <w:rPr>
      <w:i/>
      <w:iCs/>
      <w:color w:val="404040" w:themeColor="text1" w:themeTint="BF"/>
    </w:rPr>
  </w:style>
  <w:style w:type="character" w:customStyle="1" w:styleId="QuoteChar">
    <w:name w:val="Quote Char"/>
    <w:basedOn w:val="DefaultParagraphFont"/>
    <w:link w:val="Quote"/>
    <w:uiPriority w:val="29"/>
    <w:rsid w:val="000F45B9"/>
    <w:rPr>
      <w:i/>
      <w:iCs/>
      <w:color w:val="404040" w:themeColor="text1" w:themeTint="BF"/>
    </w:rPr>
  </w:style>
  <w:style w:type="paragraph" w:styleId="ListParagraph">
    <w:name w:val="List Paragraph"/>
    <w:basedOn w:val="Normal"/>
    <w:uiPriority w:val="34"/>
    <w:qFormat/>
    <w:rsid w:val="000F45B9"/>
    <w:pPr>
      <w:ind w:left="720"/>
      <w:contextualSpacing/>
    </w:pPr>
  </w:style>
  <w:style w:type="character" w:styleId="IntenseEmphasis">
    <w:name w:val="Intense Emphasis"/>
    <w:basedOn w:val="DefaultParagraphFont"/>
    <w:uiPriority w:val="21"/>
    <w:qFormat/>
    <w:rsid w:val="000F45B9"/>
    <w:rPr>
      <w:i/>
      <w:iCs/>
      <w:color w:val="0F4761" w:themeColor="accent1" w:themeShade="BF"/>
    </w:rPr>
  </w:style>
  <w:style w:type="paragraph" w:styleId="IntenseQuote">
    <w:name w:val="Intense Quote"/>
    <w:basedOn w:val="Normal"/>
    <w:next w:val="Normal"/>
    <w:link w:val="IntenseQuoteChar"/>
    <w:uiPriority w:val="30"/>
    <w:qFormat/>
    <w:rsid w:val="000F4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5B9"/>
    <w:rPr>
      <w:i/>
      <w:iCs/>
      <w:color w:val="0F4761" w:themeColor="accent1" w:themeShade="BF"/>
    </w:rPr>
  </w:style>
  <w:style w:type="character" w:styleId="IntenseReference">
    <w:name w:val="Intense Reference"/>
    <w:basedOn w:val="DefaultParagraphFont"/>
    <w:uiPriority w:val="32"/>
    <w:qFormat/>
    <w:rsid w:val="000F45B9"/>
    <w:rPr>
      <w:b/>
      <w:bCs/>
      <w:smallCaps/>
      <w:color w:val="0F4761" w:themeColor="accent1" w:themeShade="BF"/>
      <w:spacing w:val="5"/>
    </w:rPr>
  </w:style>
  <w:style w:type="table" w:styleId="TableGrid">
    <w:name w:val="Table Grid"/>
    <w:basedOn w:val="TableNormal"/>
    <w:uiPriority w:val="39"/>
    <w:rsid w:val="00B40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05DF"/>
    <w:pPr>
      <w:spacing w:after="0" w:line="240" w:lineRule="auto"/>
    </w:pPr>
  </w:style>
  <w:style w:type="paragraph" w:styleId="Header">
    <w:name w:val="header"/>
    <w:basedOn w:val="Normal"/>
    <w:link w:val="HeaderChar"/>
    <w:uiPriority w:val="99"/>
    <w:unhideWhenUsed/>
    <w:rsid w:val="00EA5F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F66"/>
  </w:style>
  <w:style w:type="paragraph" w:styleId="Footer">
    <w:name w:val="footer"/>
    <w:basedOn w:val="Normal"/>
    <w:link w:val="FooterChar"/>
    <w:uiPriority w:val="99"/>
    <w:unhideWhenUsed/>
    <w:rsid w:val="00EA5F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Words>
  <Characters>478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Bimont</dc:creator>
  <cp:keywords/>
  <dc:description/>
  <cp:lastModifiedBy>Tin Nguyen</cp:lastModifiedBy>
  <cp:revision>3</cp:revision>
  <dcterms:created xsi:type="dcterms:W3CDTF">2026-05-07T03:28:00Z</dcterms:created>
  <dcterms:modified xsi:type="dcterms:W3CDTF">2026-05-07T03:29:00Z</dcterms:modified>
</cp:coreProperties>
</file>