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C42F" w14:textId="14071153" w:rsidR="002674A5" w:rsidRPr="006338D4" w:rsidRDefault="000F45B9" w:rsidP="000F45B9">
      <w:pPr>
        <w:rPr>
          <w:rFonts w:ascii="Poppins" w:hAnsi="Poppins" w:cs="Poppins"/>
          <w:b/>
          <w:bCs/>
        </w:rPr>
      </w:pPr>
      <w:r w:rsidRPr="006338D4">
        <w:rPr>
          <w:rFonts w:ascii="Poppins" w:hAnsi="Poppins" w:cs="Poppins"/>
          <w:b/>
          <w:bCs/>
        </w:rPr>
        <w:t xml:space="preserve">S15 Discharge of contaminants to </w:t>
      </w:r>
      <w:r w:rsidR="008F52D1" w:rsidRPr="006338D4">
        <w:rPr>
          <w:rFonts w:ascii="Poppins" w:hAnsi="Poppins" w:cs="Poppins"/>
          <w:b/>
          <w:bCs/>
        </w:rPr>
        <w:t>land</w:t>
      </w:r>
    </w:p>
    <w:tbl>
      <w:tblPr>
        <w:tblStyle w:val="TableGrid"/>
        <w:tblW w:w="0" w:type="auto"/>
        <w:tblLook w:val="04A0" w:firstRow="1" w:lastRow="0" w:firstColumn="1" w:lastColumn="0" w:noHBand="0" w:noVBand="1"/>
      </w:tblPr>
      <w:tblGrid>
        <w:gridCol w:w="5433"/>
        <w:gridCol w:w="3917"/>
      </w:tblGrid>
      <w:tr w:rsidR="00116AB5" w:rsidRPr="006338D4" w14:paraId="5FA8EA29" w14:textId="7A56ABCE" w:rsidTr="00740F56">
        <w:tc>
          <w:tcPr>
            <w:tcW w:w="9350" w:type="dxa"/>
            <w:gridSpan w:val="2"/>
          </w:tcPr>
          <w:p w14:paraId="6A0A05D4" w14:textId="0E7A4ED4" w:rsidR="00116AB5" w:rsidRPr="006338D4" w:rsidRDefault="00116AB5" w:rsidP="00116AB5">
            <w:pPr>
              <w:jc w:val="center"/>
              <w:rPr>
                <w:rFonts w:ascii="Poppins" w:hAnsi="Poppins" w:cs="Poppins"/>
                <w:b/>
                <w:bCs/>
              </w:rPr>
            </w:pPr>
            <w:r w:rsidRPr="006338D4">
              <w:rPr>
                <w:rFonts w:ascii="Poppins" w:hAnsi="Poppins" w:cs="Poppins"/>
                <w:b/>
                <w:bCs/>
              </w:rPr>
              <w:t>CHAPTER 12. AGRICULTURAL CONTAMINANTS</w:t>
            </w:r>
          </w:p>
        </w:tc>
      </w:tr>
      <w:tr w:rsidR="003E0D85" w:rsidRPr="006338D4" w14:paraId="3691A7F6" w14:textId="565C00C6" w:rsidTr="003E0D85">
        <w:tc>
          <w:tcPr>
            <w:tcW w:w="5433" w:type="dxa"/>
          </w:tcPr>
          <w:p w14:paraId="6F089038" w14:textId="7A6109F3"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OBJECTIVE</w:t>
            </w:r>
          </w:p>
        </w:tc>
        <w:tc>
          <w:tcPr>
            <w:tcW w:w="3917" w:type="dxa"/>
          </w:tcPr>
          <w:p w14:paraId="22968972" w14:textId="7872D850" w:rsidR="003E0D85" w:rsidRPr="006338D4" w:rsidRDefault="00F311E8" w:rsidP="00C26A37">
            <w:pPr>
              <w:tabs>
                <w:tab w:val="left" w:pos="3149"/>
              </w:tabs>
              <w:jc w:val="center"/>
              <w:rPr>
                <w:rFonts w:ascii="Poppins" w:hAnsi="Poppins" w:cs="Poppins"/>
                <w:b/>
                <w:bCs/>
              </w:rPr>
            </w:pPr>
            <w:r w:rsidRPr="006338D4">
              <w:rPr>
                <w:rFonts w:ascii="Poppins" w:hAnsi="Poppins" w:cs="Poppins"/>
                <w:b/>
                <w:bCs/>
              </w:rPr>
              <w:t>Assessment</w:t>
            </w:r>
          </w:p>
        </w:tc>
      </w:tr>
      <w:tr w:rsidR="003E0D85" w:rsidRPr="006338D4" w14:paraId="22746625" w14:textId="6F698563" w:rsidTr="003E0D85">
        <w:tc>
          <w:tcPr>
            <w:tcW w:w="5433" w:type="dxa"/>
          </w:tcPr>
          <w:p w14:paraId="5424CA5E" w14:textId="19226D92" w:rsidR="003E0D85" w:rsidRPr="006338D4" w:rsidRDefault="003E0D85" w:rsidP="00116AB5">
            <w:pPr>
              <w:tabs>
                <w:tab w:val="left" w:pos="3149"/>
              </w:tabs>
              <w:rPr>
                <w:rFonts w:ascii="Poppins" w:hAnsi="Poppins" w:cs="Poppins"/>
              </w:rPr>
            </w:pPr>
            <w:r w:rsidRPr="006338D4">
              <w:rPr>
                <w:rFonts w:ascii="Poppins" w:hAnsi="Poppins" w:cs="Poppins"/>
              </w:rPr>
              <w:t xml:space="preserve">12.2.1 To ensure that the adverse effects from the discharge of agricultural contaminants into or onto land, on water and soil quality, social, cultural, and amenity values, and human health are avoided, remedied, or mitigated.  </w:t>
            </w:r>
          </w:p>
        </w:tc>
        <w:tc>
          <w:tcPr>
            <w:tcW w:w="3917" w:type="dxa"/>
          </w:tcPr>
          <w:p w14:paraId="3E2F278B" w14:textId="77777777" w:rsidR="003E0D85" w:rsidRPr="006338D4" w:rsidRDefault="003E0D85" w:rsidP="005A07C2">
            <w:pPr>
              <w:tabs>
                <w:tab w:val="left" w:pos="3149"/>
              </w:tabs>
              <w:rPr>
                <w:rFonts w:ascii="Poppins" w:hAnsi="Poppins" w:cs="Poppins"/>
              </w:rPr>
            </w:pPr>
          </w:p>
        </w:tc>
      </w:tr>
      <w:tr w:rsidR="003E0D85" w:rsidRPr="006338D4" w14:paraId="02E8DF98" w14:textId="40A12874" w:rsidTr="003E0D85">
        <w:tc>
          <w:tcPr>
            <w:tcW w:w="5433" w:type="dxa"/>
          </w:tcPr>
          <w:p w14:paraId="61D6A79B" w14:textId="5CF38F05"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POLICIES</w:t>
            </w:r>
          </w:p>
        </w:tc>
        <w:tc>
          <w:tcPr>
            <w:tcW w:w="3917" w:type="dxa"/>
          </w:tcPr>
          <w:p w14:paraId="0199CAA7" w14:textId="77777777" w:rsidR="003E0D85" w:rsidRPr="006338D4" w:rsidRDefault="003E0D85" w:rsidP="00C26A37">
            <w:pPr>
              <w:tabs>
                <w:tab w:val="left" w:pos="3149"/>
              </w:tabs>
              <w:jc w:val="center"/>
              <w:rPr>
                <w:rFonts w:ascii="Poppins" w:hAnsi="Poppins" w:cs="Poppins"/>
                <w:b/>
                <w:bCs/>
              </w:rPr>
            </w:pPr>
          </w:p>
        </w:tc>
      </w:tr>
      <w:tr w:rsidR="003E0D85" w:rsidRPr="006338D4" w14:paraId="3649F1F6" w14:textId="70B3150B" w:rsidTr="003E0D85">
        <w:tc>
          <w:tcPr>
            <w:tcW w:w="5433" w:type="dxa"/>
          </w:tcPr>
          <w:p w14:paraId="504305FF" w14:textId="409959B5" w:rsidR="003E0D85" w:rsidRPr="006338D4" w:rsidRDefault="003E0D85" w:rsidP="00116AB5">
            <w:pPr>
              <w:tabs>
                <w:tab w:val="left" w:pos="3149"/>
              </w:tabs>
              <w:rPr>
                <w:rFonts w:ascii="Poppins" w:hAnsi="Poppins" w:cs="Poppins"/>
              </w:rPr>
            </w:pPr>
            <w:r w:rsidRPr="006338D4">
              <w:rPr>
                <w:rFonts w:ascii="Poppins" w:hAnsi="Poppins" w:cs="Poppins"/>
              </w:rPr>
              <w:t>12.3.1 To ensure that the discharge of agricultural contaminants to land is conducted in such a way that any adverse environmental effects are avoided, remedied, or mitigated.</w:t>
            </w:r>
          </w:p>
        </w:tc>
        <w:tc>
          <w:tcPr>
            <w:tcW w:w="3917" w:type="dxa"/>
          </w:tcPr>
          <w:p w14:paraId="213B399F" w14:textId="77777777" w:rsidR="003E0D85" w:rsidRPr="006338D4" w:rsidRDefault="003E0D85" w:rsidP="005A07C2">
            <w:pPr>
              <w:tabs>
                <w:tab w:val="left" w:pos="3149"/>
              </w:tabs>
              <w:rPr>
                <w:rFonts w:ascii="Poppins" w:hAnsi="Poppins" w:cs="Poppins"/>
              </w:rPr>
            </w:pPr>
          </w:p>
        </w:tc>
      </w:tr>
      <w:tr w:rsidR="003E0D85" w:rsidRPr="006338D4" w14:paraId="55DA0BD9" w14:textId="730EB35B" w:rsidTr="003E0D85">
        <w:tc>
          <w:tcPr>
            <w:tcW w:w="5433" w:type="dxa"/>
          </w:tcPr>
          <w:p w14:paraId="5591CFB4" w14:textId="3A1B3DC5" w:rsidR="003E0D85" w:rsidRPr="006338D4" w:rsidRDefault="003E0D85" w:rsidP="00116AB5">
            <w:pPr>
              <w:tabs>
                <w:tab w:val="left" w:pos="3149"/>
              </w:tabs>
              <w:rPr>
                <w:rFonts w:ascii="Poppins" w:hAnsi="Poppins" w:cs="Poppins"/>
              </w:rPr>
            </w:pPr>
            <w:r w:rsidRPr="006338D4">
              <w:rPr>
                <w:rFonts w:ascii="Poppins" w:hAnsi="Poppins" w:cs="Poppins"/>
              </w:rPr>
              <w:t>12.3.2 To promote the discharge of agricultural effluent to land, provided any adverse effects on the environment are avoided, remedied, or mitigated.</w:t>
            </w:r>
          </w:p>
        </w:tc>
        <w:tc>
          <w:tcPr>
            <w:tcW w:w="3917" w:type="dxa"/>
          </w:tcPr>
          <w:p w14:paraId="16039CB4" w14:textId="77777777" w:rsidR="003E0D85" w:rsidRPr="006338D4" w:rsidRDefault="003E0D85" w:rsidP="005A07C2">
            <w:pPr>
              <w:tabs>
                <w:tab w:val="left" w:pos="3149"/>
              </w:tabs>
              <w:rPr>
                <w:rFonts w:ascii="Poppins" w:hAnsi="Poppins" w:cs="Poppins"/>
              </w:rPr>
            </w:pPr>
          </w:p>
        </w:tc>
      </w:tr>
      <w:tr w:rsidR="003E0D85" w:rsidRPr="006338D4" w14:paraId="16A5CA00" w14:textId="221505FE" w:rsidTr="003E0D85">
        <w:tc>
          <w:tcPr>
            <w:tcW w:w="5433" w:type="dxa"/>
          </w:tcPr>
          <w:p w14:paraId="444A152A" w14:textId="77777777" w:rsidR="003E0D85" w:rsidRPr="006338D4" w:rsidRDefault="003E0D85" w:rsidP="005A07C2">
            <w:pPr>
              <w:tabs>
                <w:tab w:val="left" w:pos="3149"/>
              </w:tabs>
              <w:rPr>
                <w:rFonts w:ascii="Poppins" w:hAnsi="Poppins" w:cs="Poppins"/>
              </w:rPr>
            </w:pPr>
            <w:r w:rsidRPr="006338D4">
              <w:rPr>
                <w:rFonts w:ascii="Poppins" w:hAnsi="Poppins" w:cs="Poppins"/>
              </w:rPr>
              <w:t xml:space="preserve">12.3.3 To promote land management practices which minimise the effects on surface and ground water of runoff and leachate from discharges of agricultural contaminants to land, including: </w:t>
            </w:r>
          </w:p>
          <w:p w14:paraId="4245A93B" w14:textId="215DD38D" w:rsidR="003E0D85" w:rsidRPr="006338D4" w:rsidRDefault="003E0D85" w:rsidP="00C3797B">
            <w:pPr>
              <w:pStyle w:val="ListParagraph"/>
              <w:numPr>
                <w:ilvl w:val="0"/>
                <w:numId w:val="15"/>
              </w:numPr>
              <w:tabs>
                <w:tab w:val="left" w:pos="3149"/>
              </w:tabs>
              <w:rPr>
                <w:rFonts w:ascii="Poppins" w:hAnsi="Poppins" w:cs="Poppins"/>
              </w:rPr>
            </w:pPr>
            <w:r w:rsidRPr="006338D4">
              <w:rPr>
                <w:rFonts w:ascii="Poppins" w:hAnsi="Poppins" w:cs="Poppins"/>
              </w:rPr>
              <w:t xml:space="preserve">Management of riparian margins to reduce surface water pollution from animal residues and fertilisers; and </w:t>
            </w:r>
          </w:p>
          <w:p w14:paraId="194F6A18" w14:textId="79997B4C" w:rsidR="003E0D85" w:rsidRPr="006338D4" w:rsidRDefault="003E0D85" w:rsidP="00116AB5">
            <w:pPr>
              <w:pStyle w:val="ListParagraph"/>
              <w:numPr>
                <w:ilvl w:val="0"/>
                <w:numId w:val="15"/>
              </w:numPr>
              <w:tabs>
                <w:tab w:val="left" w:pos="3149"/>
              </w:tabs>
              <w:rPr>
                <w:rFonts w:ascii="Poppins" w:hAnsi="Poppins" w:cs="Poppins"/>
              </w:rPr>
            </w:pPr>
            <w:r w:rsidRPr="006338D4">
              <w:rPr>
                <w:rFonts w:ascii="Poppins" w:hAnsi="Poppins" w:cs="Poppins"/>
              </w:rPr>
              <w:t xml:space="preserve">Applying fertilisers and agrichemicals at rates which are appropriate to site and weather conditions.  </w:t>
            </w:r>
          </w:p>
        </w:tc>
        <w:tc>
          <w:tcPr>
            <w:tcW w:w="3917" w:type="dxa"/>
          </w:tcPr>
          <w:p w14:paraId="1B939F04" w14:textId="77777777" w:rsidR="003E0D85" w:rsidRPr="006338D4" w:rsidRDefault="003E0D85" w:rsidP="005A07C2">
            <w:pPr>
              <w:tabs>
                <w:tab w:val="left" w:pos="3149"/>
              </w:tabs>
              <w:rPr>
                <w:rFonts w:ascii="Poppins" w:hAnsi="Poppins" w:cs="Poppins"/>
              </w:rPr>
            </w:pPr>
          </w:p>
        </w:tc>
      </w:tr>
      <w:tr w:rsidR="00116AB5" w:rsidRPr="006338D4" w14:paraId="715F8863" w14:textId="0A5C0F22" w:rsidTr="004F37E1">
        <w:tc>
          <w:tcPr>
            <w:tcW w:w="9350" w:type="dxa"/>
            <w:gridSpan w:val="2"/>
          </w:tcPr>
          <w:p w14:paraId="08BD4101" w14:textId="1C245E15" w:rsidR="00116AB5" w:rsidRPr="006338D4" w:rsidRDefault="00116AB5" w:rsidP="00116AB5">
            <w:pPr>
              <w:jc w:val="center"/>
              <w:rPr>
                <w:rFonts w:ascii="Poppins" w:hAnsi="Poppins" w:cs="Poppins"/>
                <w:b/>
                <w:bCs/>
              </w:rPr>
            </w:pPr>
            <w:r w:rsidRPr="006338D4">
              <w:rPr>
                <w:rFonts w:ascii="Poppins" w:hAnsi="Poppins" w:cs="Poppins"/>
                <w:b/>
                <w:bCs/>
              </w:rPr>
              <w:t>CHAPTER 13. LIQUID CONTAMINANTS</w:t>
            </w:r>
          </w:p>
        </w:tc>
      </w:tr>
      <w:tr w:rsidR="003E0D85" w:rsidRPr="006338D4" w14:paraId="4878E06C" w14:textId="73562B9E" w:rsidTr="003E0D85">
        <w:tc>
          <w:tcPr>
            <w:tcW w:w="5433" w:type="dxa"/>
          </w:tcPr>
          <w:p w14:paraId="089EA050" w14:textId="097ACDE0"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OBJECTIVE</w:t>
            </w:r>
          </w:p>
        </w:tc>
        <w:tc>
          <w:tcPr>
            <w:tcW w:w="3917" w:type="dxa"/>
          </w:tcPr>
          <w:p w14:paraId="4BD44B8D" w14:textId="276EB188" w:rsidR="003E0D85" w:rsidRPr="006338D4" w:rsidRDefault="00F311E8" w:rsidP="000675A4">
            <w:pPr>
              <w:tabs>
                <w:tab w:val="left" w:pos="3149"/>
              </w:tabs>
              <w:jc w:val="center"/>
              <w:rPr>
                <w:rFonts w:ascii="Poppins" w:hAnsi="Poppins" w:cs="Poppins"/>
                <w:b/>
                <w:bCs/>
              </w:rPr>
            </w:pPr>
            <w:r w:rsidRPr="006338D4">
              <w:rPr>
                <w:rFonts w:ascii="Poppins" w:hAnsi="Poppins" w:cs="Poppins"/>
                <w:b/>
                <w:bCs/>
              </w:rPr>
              <w:t>Assessment</w:t>
            </w:r>
          </w:p>
        </w:tc>
      </w:tr>
      <w:tr w:rsidR="003E0D85" w:rsidRPr="006338D4" w14:paraId="046B4FF9" w14:textId="483311A9" w:rsidTr="003E0D85">
        <w:tc>
          <w:tcPr>
            <w:tcW w:w="5433" w:type="dxa"/>
          </w:tcPr>
          <w:p w14:paraId="487F044E" w14:textId="77777777" w:rsidR="003E0D85" w:rsidRDefault="003E0D85" w:rsidP="00116AB5">
            <w:pPr>
              <w:tabs>
                <w:tab w:val="left" w:pos="3149"/>
              </w:tabs>
              <w:rPr>
                <w:rFonts w:ascii="Poppins" w:hAnsi="Poppins" w:cs="Poppins"/>
              </w:rPr>
            </w:pPr>
            <w:r w:rsidRPr="006338D4">
              <w:rPr>
                <w:rFonts w:ascii="Poppins" w:hAnsi="Poppins" w:cs="Poppins"/>
              </w:rPr>
              <w:t>13.2.1 To ensure that the adverse effects from the discharge of liquid contaminants into or onto land, on water and soil quality, social, cultural, and amenity values, and human health are avoided, remedied, or mitigated.</w:t>
            </w:r>
          </w:p>
          <w:p w14:paraId="44AC3B95" w14:textId="77777777" w:rsidR="00BB2765" w:rsidRDefault="00BB2765" w:rsidP="00116AB5">
            <w:pPr>
              <w:tabs>
                <w:tab w:val="left" w:pos="3149"/>
              </w:tabs>
              <w:rPr>
                <w:rFonts w:ascii="Poppins" w:hAnsi="Poppins" w:cs="Poppins"/>
              </w:rPr>
            </w:pPr>
          </w:p>
          <w:p w14:paraId="452EE1C3" w14:textId="77777777" w:rsidR="00BB2765" w:rsidRDefault="00BB2765" w:rsidP="00116AB5">
            <w:pPr>
              <w:tabs>
                <w:tab w:val="left" w:pos="3149"/>
              </w:tabs>
              <w:rPr>
                <w:rFonts w:ascii="Poppins" w:hAnsi="Poppins" w:cs="Poppins"/>
              </w:rPr>
            </w:pPr>
          </w:p>
          <w:p w14:paraId="17F09AB2" w14:textId="145D4F3F" w:rsidR="00BB2765" w:rsidRPr="006338D4" w:rsidRDefault="00BB2765" w:rsidP="00116AB5">
            <w:pPr>
              <w:tabs>
                <w:tab w:val="left" w:pos="3149"/>
              </w:tabs>
              <w:rPr>
                <w:rFonts w:ascii="Poppins" w:hAnsi="Poppins" w:cs="Poppins"/>
              </w:rPr>
            </w:pPr>
          </w:p>
        </w:tc>
        <w:tc>
          <w:tcPr>
            <w:tcW w:w="3917" w:type="dxa"/>
          </w:tcPr>
          <w:p w14:paraId="6A395775" w14:textId="77777777" w:rsidR="003E0D85" w:rsidRPr="006338D4" w:rsidRDefault="003E0D85" w:rsidP="005A07C2">
            <w:pPr>
              <w:tabs>
                <w:tab w:val="left" w:pos="3149"/>
              </w:tabs>
              <w:rPr>
                <w:rFonts w:ascii="Poppins" w:hAnsi="Poppins" w:cs="Poppins"/>
              </w:rPr>
            </w:pPr>
          </w:p>
        </w:tc>
      </w:tr>
      <w:tr w:rsidR="003E0D85" w:rsidRPr="006338D4" w14:paraId="06CD3465" w14:textId="6D374744" w:rsidTr="003E0D85">
        <w:tc>
          <w:tcPr>
            <w:tcW w:w="5433" w:type="dxa"/>
          </w:tcPr>
          <w:p w14:paraId="5AE7B9BB" w14:textId="51B48EFC"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lastRenderedPageBreak/>
              <w:t>POLICY</w:t>
            </w:r>
          </w:p>
        </w:tc>
        <w:tc>
          <w:tcPr>
            <w:tcW w:w="3917" w:type="dxa"/>
          </w:tcPr>
          <w:p w14:paraId="7CB5FD07" w14:textId="77777777" w:rsidR="003E0D85" w:rsidRPr="006338D4" w:rsidRDefault="003E0D85" w:rsidP="005D05E1">
            <w:pPr>
              <w:tabs>
                <w:tab w:val="left" w:pos="3149"/>
              </w:tabs>
              <w:jc w:val="center"/>
              <w:rPr>
                <w:rFonts w:ascii="Poppins" w:hAnsi="Poppins" w:cs="Poppins"/>
                <w:b/>
                <w:bCs/>
              </w:rPr>
            </w:pPr>
          </w:p>
        </w:tc>
      </w:tr>
      <w:tr w:rsidR="003E0D85" w:rsidRPr="006338D4" w14:paraId="5709EF01" w14:textId="00C8CDE7" w:rsidTr="003E0D85">
        <w:tc>
          <w:tcPr>
            <w:tcW w:w="5433" w:type="dxa"/>
          </w:tcPr>
          <w:p w14:paraId="05B39FE6" w14:textId="6B7AE2A9" w:rsidR="00075F19" w:rsidRPr="006338D4" w:rsidRDefault="003E0D85" w:rsidP="006338D4">
            <w:pPr>
              <w:tabs>
                <w:tab w:val="left" w:pos="3149"/>
              </w:tabs>
              <w:rPr>
                <w:rFonts w:ascii="Poppins" w:hAnsi="Poppins" w:cs="Poppins"/>
              </w:rPr>
            </w:pPr>
            <w:r w:rsidRPr="006338D4">
              <w:rPr>
                <w:rFonts w:ascii="Poppins" w:hAnsi="Poppins" w:cs="Poppins"/>
              </w:rPr>
              <w:t xml:space="preserve">13.3.1 To ensure that the discharge of liquid contaminants into or onto land is of a nature or at a rate that does not exceed the ability of the land to assimilate the </w:t>
            </w:r>
            <w:proofErr w:type="gramStart"/>
            <w:r w:rsidRPr="006338D4">
              <w:rPr>
                <w:rFonts w:ascii="Poppins" w:hAnsi="Poppins" w:cs="Poppins"/>
              </w:rPr>
              <w:t>contaminant, and</w:t>
            </w:r>
            <w:proofErr w:type="gramEnd"/>
            <w:r w:rsidRPr="006338D4">
              <w:rPr>
                <w:rFonts w:ascii="Poppins" w:hAnsi="Poppins" w:cs="Poppins"/>
              </w:rPr>
              <w:t xml:space="preserve"> does not result in soil contamination.</w:t>
            </w:r>
          </w:p>
        </w:tc>
        <w:tc>
          <w:tcPr>
            <w:tcW w:w="3917" w:type="dxa"/>
          </w:tcPr>
          <w:p w14:paraId="328FD7CF" w14:textId="77777777" w:rsidR="003E0D85" w:rsidRPr="006338D4" w:rsidRDefault="003E0D85" w:rsidP="005A07C2">
            <w:pPr>
              <w:tabs>
                <w:tab w:val="left" w:pos="3149"/>
              </w:tabs>
              <w:rPr>
                <w:rFonts w:ascii="Poppins" w:hAnsi="Poppins" w:cs="Poppins"/>
              </w:rPr>
            </w:pPr>
          </w:p>
        </w:tc>
      </w:tr>
      <w:tr w:rsidR="00116AB5" w:rsidRPr="006338D4" w14:paraId="56F4BA8D" w14:textId="066F67FC" w:rsidTr="00B22B67">
        <w:tc>
          <w:tcPr>
            <w:tcW w:w="9350" w:type="dxa"/>
            <w:gridSpan w:val="2"/>
          </w:tcPr>
          <w:p w14:paraId="7AF4D37C" w14:textId="0C790C4D" w:rsidR="00116AB5" w:rsidRPr="006338D4" w:rsidRDefault="00116AB5" w:rsidP="00116AB5">
            <w:pPr>
              <w:jc w:val="center"/>
              <w:rPr>
                <w:rFonts w:ascii="Poppins" w:hAnsi="Poppins" w:cs="Poppins"/>
                <w:b/>
                <w:bCs/>
              </w:rPr>
            </w:pPr>
            <w:r w:rsidRPr="006338D4">
              <w:rPr>
                <w:rFonts w:ascii="Poppins" w:hAnsi="Poppins" w:cs="Poppins"/>
                <w:b/>
                <w:bCs/>
              </w:rPr>
              <w:t>CHAPTER 14. SOLID CONTAMINANTS</w:t>
            </w:r>
          </w:p>
        </w:tc>
      </w:tr>
      <w:tr w:rsidR="003E0D85" w:rsidRPr="006338D4" w14:paraId="1FC4C597" w14:textId="20A78E62" w:rsidTr="003E0D85">
        <w:tc>
          <w:tcPr>
            <w:tcW w:w="5433" w:type="dxa"/>
          </w:tcPr>
          <w:p w14:paraId="62CE4F4A" w14:textId="3962AF35"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OBJECTIVE</w:t>
            </w:r>
          </w:p>
        </w:tc>
        <w:tc>
          <w:tcPr>
            <w:tcW w:w="3917" w:type="dxa"/>
          </w:tcPr>
          <w:p w14:paraId="570E0A03" w14:textId="5C9D6E05" w:rsidR="003E0D85" w:rsidRPr="006338D4" w:rsidRDefault="00F311E8" w:rsidP="005D05E1">
            <w:pPr>
              <w:tabs>
                <w:tab w:val="left" w:pos="3149"/>
              </w:tabs>
              <w:jc w:val="center"/>
              <w:rPr>
                <w:rFonts w:ascii="Poppins" w:hAnsi="Poppins" w:cs="Poppins"/>
                <w:b/>
                <w:bCs/>
              </w:rPr>
            </w:pPr>
            <w:r w:rsidRPr="006338D4">
              <w:rPr>
                <w:rFonts w:ascii="Poppins" w:hAnsi="Poppins" w:cs="Poppins"/>
                <w:b/>
                <w:bCs/>
              </w:rPr>
              <w:t>Assessment</w:t>
            </w:r>
          </w:p>
        </w:tc>
      </w:tr>
      <w:tr w:rsidR="003E0D85" w:rsidRPr="006338D4" w14:paraId="294FEC87" w14:textId="18E586D2" w:rsidTr="003E0D85">
        <w:tc>
          <w:tcPr>
            <w:tcW w:w="5433" w:type="dxa"/>
          </w:tcPr>
          <w:p w14:paraId="0735782C" w14:textId="623341A9" w:rsidR="003E0D85" w:rsidRPr="006338D4" w:rsidRDefault="003E0D85" w:rsidP="00116AB5">
            <w:pPr>
              <w:tabs>
                <w:tab w:val="left" w:pos="3149"/>
              </w:tabs>
              <w:rPr>
                <w:rFonts w:ascii="Poppins" w:hAnsi="Poppins" w:cs="Poppins"/>
              </w:rPr>
            </w:pPr>
            <w:r w:rsidRPr="006338D4">
              <w:rPr>
                <w:rFonts w:ascii="Poppins" w:hAnsi="Poppins" w:cs="Poppins"/>
              </w:rPr>
              <w:t>14.2.1 To ensure that the adverse effects from the discharge of solid contaminants into or onto land, on water and soil quality, social, cultural and amenity values, and human health are avoided, remedied or mitigated.</w:t>
            </w:r>
          </w:p>
        </w:tc>
        <w:tc>
          <w:tcPr>
            <w:tcW w:w="3917" w:type="dxa"/>
          </w:tcPr>
          <w:p w14:paraId="3871D56B" w14:textId="77777777" w:rsidR="003E0D85" w:rsidRPr="006338D4" w:rsidRDefault="003E0D85" w:rsidP="00C42930">
            <w:pPr>
              <w:tabs>
                <w:tab w:val="left" w:pos="3149"/>
              </w:tabs>
              <w:rPr>
                <w:rFonts w:ascii="Poppins" w:hAnsi="Poppins" w:cs="Poppins"/>
              </w:rPr>
            </w:pPr>
          </w:p>
        </w:tc>
      </w:tr>
      <w:tr w:rsidR="003E0D85" w:rsidRPr="006338D4" w14:paraId="2DAADDEC" w14:textId="4FC970AB" w:rsidTr="003E0D85">
        <w:tc>
          <w:tcPr>
            <w:tcW w:w="5433" w:type="dxa"/>
          </w:tcPr>
          <w:p w14:paraId="0F363563" w14:textId="5AC058E8"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POLICY</w:t>
            </w:r>
          </w:p>
        </w:tc>
        <w:tc>
          <w:tcPr>
            <w:tcW w:w="3917" w:type="dxa"/>
          </w:tcPr>
          <w:p w14:paraId="7DF43F4D" w14:textId="77777777" w:rsidR="003E0D85" w:rsidRPr="006338D4" w:rsidRDefault="003E0D85" w:rsidP="00C42930">
            <w:pPr>
              <w:tabs>
                <w:tab w:val="left" w:pos="3149"/>
              </w:tabs>
              <w:jc w:val="center"/>
              <w:rPr>
                <w:rFonts w:ascii="Poppins" w:hAnsi="Poppins" w:cs="Poppins"/>
                <w:b/>
                <w:bCs/>
              </w:rPr>
            </w:pPr>
          </w:p>
        </w:tc>
      </w:tr>
      <w:tr w:rsidR="003E0D85" w:rsidRPr="006338D4" w14:paraId="0F324CF1" w14:textId="5CB07554" w:rsidTr="003E0D85">
        <w:tc>
          <w:tcPr>
            <w:tcW w:w="5433" w:type="dxa"/>
          </w:tcPr>
          <w:p w14:paraId="06809DCC" w14:textId="6572441B" w:rsidR="003E0D85" w:rsidRPr="006338D4" w:rsidRDefault="003E0D85" w:rsidP="00116AB5">
            <w:pPr>
              <w:tabs>
                <w:tab w:val="left" w:pos="3149"/>
              </w:tabs>
              <w:rPr>
                <w:rFonts w:ascii="Poppins" w:hAnsi="Poppins" w:cs="Poppins"/>
              </w:rPr>
            </w:pPr>
            <w:r w:rsidRPr="006338D4">
              <w:rPr>
                <w:rFonts w:ascii="Poppins" w:hAnsi="Poppins" w:cs="Poppins"/>
              </w:rPr>
              <w:t>14.3.1 To ensure that solid waste disposal facilities are sited, designed, constructed and managed to avoid, remedy, or mitigate any adverse effects on the environment.</w:t>
            </w:r>
          </w:p>
        </w:tc>
        <w:tc>
          <w:tcPr>
            <w:tcW w:w="3917" w:type="dxa"/>
          </w:tcPr>
          <w:p w14:paraId="7891FF97" w14:textId="77777777" w:rsidR="003E0D85" w:rsidRPr="006338D4" w:rsidRDefault="003E0D85" w:rsidP="00C42930">
            <w:pPr>
              <w:tabs>
                <w:tab w:val="left" w:pos="3149"/>
              </w:tabs>
              <w:rPr>
                <w:rFonts w:ascii="Poppins" w:hAnsi="Poppins" w:cs="Poppins"/>
              </w:rPr>
            </w:pPr>
          </w:p>
        </w:tc>
      </w:tr>
      <w:tr w:rsidR="00116AB5" w:rsidRPr="006338D4" w14:paraId="75F5A31A" w14:textId="5A3A90E7" w:rsidTr="00767524">
        <w:tc>
          <w:tcPr>
            <w:tcW w:w="9350" w:type="dxa"/>
            <w:gridSpan w:val="2"/>
          </w:tcPr>
          <w:p w14:paraId="13D5CF41" w14:textId="41EDADBD" w:rsidR="00116AB5" w:rsidRPr="006338D4" w:rsidRDefault="00116AB5" w:rsidP="00116AB5">
            <w:pPr>
              <w:jc w:val="center"/>
              <w:rPr>
                <w:rFonts w:ascii="Poppins" w:hAnsi="Poppins" w:cs="Poppins"/>
                <w:b/>
                <w:bCs/>
              </w:rPr>
            </w:pPr>
            <w:r w:rsidRPr="006338D4">
              <w:rPr>
                <w:rFonts w:ascii="Poppins" w:hAnsi="Poppins" w:cs="Poppins"/>
                <w:b/>
                <w:bCs/>
              </w:rPr>
              <w:t>CHAPTER 15. HAZARDOUS SUBSTANCES</w:t>
            </w:r>
          </w:p>
        </w:tc>
      </w:tr>
      <w:tr w:rsidR="003E0D85" w:rsidRPr="006338D4" w14:paraId="71FE92B7" w14:textId="441F06AA" w:rsidTr="003E0D85">
        <w:tc>
          <w:tcPr>
            <w:tcW w:w="5433" w:type="dxa"/>
          </w:tcPr>
          <w:p w14:paraId="39A7B604" w14:textId="13810A9F"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OBJECTIVE</w:t>
            </w:r>
          </w:p>
        </w:tc>
        <w:tc>
          <w:tcPr>
            <w:tcW w:w="3917" w:type="dxa"/>
          </w:tcPr>
          <w:p w14:paraId="754F92FA" w14:textId="1E9297D3" w:rsidR="003E0D85" w:rsidRPr="006338D4" w:rsidRDefault="00F311E8" w:rsidP="008B216B">
            <w:pPr>
              <w:tabs>
                <w:tab w:val="left" w:pos="3149"/>
              </w:tabs>
              <w:jc w:val="center"/>
              <w:rPr>
                <w:rFonts w:ascii="Poppins" w:hAnsi="Poppins" w:cs="Poppins"/>
                <w:b/>
                <w:bCs/>
              </w:rPr>
            </w:pPr>
            <w:r w:rsidRPr="006338D4">
              <w:rPr>
                <w:rFonts w:ascii="Poppins" w:hAnsi="Poppins" w:cs="Poppins"/>
                <w:b/>
                <w:bCs/>
              </w:rPr>
              <w:t>Assessment</w:t>
            </w:r>
          </w:p>
        </w:tc>
      </w:tr>
      <w:tr w:rsidR="003E0D85" w:rsidRPr="006338D4" w14:paraId="73128D8B" w14:textId="3843BA5F" w:rsidTr="003E0D85">
        <w:tc>
          <w:tcPr>
            <w:tcW w:w="5433" w:type="dxa"/>
          </w:tcPr>
          <w:p w14:paraId="0019A66F" w14:textId="56193307" w:rsidR="003E0D85" w:rsidRPr="006338D4" w:rsidRDefault="003E0D85" w:rsidP="00116AB5">
            <w:pPr>
              <w:tabs>
                <w:tab w:val="left" w:pos="3149"/>
              </w:tabs>
              <w:rPr>
                <w:rFonts w:ascii="Poppins" w:hAnsi="Poppins" w:cs="Poppins"/>
              </w:rPr>
            </w:pPr>
            <w:r w:rsidRPr="006338D4">
              <w:rPr>
                <w:rFonts w:ascii="Poppins" w:hAnsi="Poppins" w:cs="Poppins"/>
              </w:rPr>
              <w:t>15.2.1 To ensure that the adverse effects from the discharge of hazardous substances into or onto land, on water and soil quality, social, cultural, and amenity values, indigenous flora and fauna, and human health are avoided, remedied, or mitigated.</w:t>
            </w:r>
          </w:p>
        </w:tc>
        <w:tc>
          <w:tcPr>
            <w:tcW w:w="3917" w:type="dxa"/>
          </w:tcPr>
          <w:p w14:paraId="1951AD00" w14:textId="77777777" w:rsidR="003E0D85" w:rsidRPr="006338D4" w:rsidRDefault="003E0D85" w:rsidP="00C42930">
            <w:pPr>
              <w:tabs>
                <w:tab w:val="left" w:pos="3149"/>
              </w:tabs>
              <w:rPr>
                <w:rFonts w:ascii="Poppins" w:hAnsi="Poppins" w:cs="Poppins"/>
              </w:rPr>
            </w:pPr>
          </w:p>
        </w:tc>
      </w:tr>
      <w:tr w:rsidR="003E0D85" w:rsidRPr="006338D4" w14:paraId="779FCACF" w14:textId="66F54201" w:rsidTr="003E0D85">
        <w:tc>
          <w:tcPr>
            <w:tcW w:w="5433" w:type="dxa"/>
          </w:tcPr>
          <w:p w14:paraId="396876BC" w14:textId="3F30C6FC"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POLICIES</w:t>
            </w:r>
          </w:p>
        </w:tc>
        <w:tc>
          <w:tcPr>
            <w:tcW w:w="3917" w:type="dxa"/>
          </w:tcPr>
          <w:p w14:paraId="69F1FEEC" w14:textId="77777777" w:rsidR="003E0D85" w:rsidRPr="006338D4" w:rsidRDefault="003E0D85" w:rsidP="00A10AA0">
            <w:pPr>
              <w:tabs>
                <w:tab w:val="left" w:pos="3149"/>
              </w:tabs>
              <w:jc w:val="center"/>
              <w:rPr>
                <w:rFonts w:ascii="Poppins" w:hAnsi="Poppins" w:cs="Poppins"/>
                <w:b/>
                <w:bCs/>
              </w:rPr>
            </w:pPr>
          </w:p>
        </w:tc>
      </w:tr>
      <w:tr w:rsidR="003E0D85" w:rsidRPr="006338D4" w14:paraId="6A25EDCC" w14:textId="6C037B63" w:rsidTr="003E0D85">
        <w:tc>
          <w:tcPr>
            <w:tcW w:w="5433" w:type="dxa"/>
          </w:tcPr>
          <w:p w14:paraId="3301E11D" w14:textId="413CA388" w:rsidR="003E0D85" w:rsidRPr="006338D4" w:rsidRDefault="003E0D85" w:rsidP="00116AB5">
            <w:pPr>
              <w:tabs>
                <w:tab w:val="left" w:pos="3149"/>
              </w:tabs>
              <w:rPr>
                <w:rFonts w:ascii="Poppins" w:hAnsi="Poppins" w:cs="Poppins"/>
              </w:rPr>
            </w:pPr>
            <w:r w:rsidRPr="006338D4">
              <w:rPr>
                <w:rFonts w:ascii="Poppins" w:hAnsi="Poppins" w:cs="Poppins"/>
              </w:rPr>
              <w:t>15.3.1 To avoid inappropriate disposal or discharge of hazardous substances to land.</w:t>
            </w:r>
          </w:p>
        </w:tc>
        <w:tc>
          <w:tcPr>
            <w:tcW w:w="3917" w:type="dxa"/>
          </w:tcPr>
          <w:p w14:paraId="5CA17F79" w14:textId="77777777" w:rsidR="003E0D85" w:rsidRPr="006338D4" w:rsidRDefault="003E0D85" w:rsidP="00C42930">
            <w:pPr>
              <w:tabs>
                <w:tab w:val="left" w:pos="3149"/>
              </w:tabs>
              <w:rPr>
                <w:rFonts w:ascii="Poppins" w:hAnsi="Poppins" w:cs="Poppins"/>
              </w:rPr>
            </w:pPr>
          </w:p>
        </w:tc>
      </w:tr>
      <w:tr w:rsidR="003E0D85" w:rsidRPr="006338D4" w14:paraId="116318B9" w14:textId="0F6E07EC" w:rsidTr="003E0D85">
        <w:tc>
          <w:tcPr>
            <w:tcW w:w="5433" w:type="dxa"/>
          </w:tcPr>
          <w:p w14:paraId="029D13B1" w14:textId="77777777" w:rsidR="003E0D85" w:rsidRDefault="003E0D85" w:rsidP="00116AB5">
            <w:pPr>
              <w:tabs>
                <w:tab w:val="left" w:pos="3149"/>
              </w:tabs>
              <w:rPr>
                <w:rFonts w:ascii="Poppins" w:hAnsi="Poppins" w:cs="Poppins"/>
              </w:rPr>
            </w:pPr>
            <w:r w:rsidRPr="006338D4">
              <w:rPr>
                <w:rFonts w:ascii="Poppins" w:hAnsi="Poppins" w:cs="Poppins"/>
              </w:rPr>
              <w:t xml:space="preserve">15.3.2 To recognise, where appropriate, relevant industry codes of practice or guidelines relating to the management of hazardous substances and potential associated discharges.  </w:t>
            </w:r>
          </w:p>
          <w:p w14:paraId="7CB6DE67" w14:textId="77777777" w:rsidR="00BB2765" w:rsidRDefault="00BB2765" w:rsidP="00116AB5">
            <w:pPr>
              <w:tabs>
                <w:tab w:val="left" w:pos="3149"/>
              </w:tabs>
              <w:rPr>
                <w:rFonts w:ascii="Poppins" w:hAnsi="Poppins" w:cs="Poppins"/>
              </w:rPr>
            </w:pPr>
          </w:p>
          <w:p w14:paraId="3C3F4894" w14:textId="77777777" w:rsidR="00BB2765" w:rsidRDefault="00BB2765" w:rsidP="00116AB5">
            <w:pPr>
              <w:tabs>
                <w:tab w:val="left" w:pos="3149"/>
              </w:tabs>
              <w:rPr>
                <w:rFonts w:ascii="Poppins" w:hAnsi="Poppins" w:cs="Poppins"/>
              </w:rPr>
            </w:pPr>
          </w:p>
          <w:p w14:paraId="659B4997" w14:textId="4FE85B0F" w:rsidR="00BB2765" w:rsidRPr="006338D4" w:rsidRDefault="00BB2765" w:rsidP="00116AB5">
            <w:pPr>
              <w:tabs>
                <w:tab w:val="left" w:pos="3149"/>
              </w:tabs>
              <w:rPr>
                <w:rFonts w:ascii="Poppins" w:hAnsi="Poppins" w:cs="Poppins"/>
              </w:rPr>
            </w:pPr>
          </w:p>
        </w:tc>
        <w:tc>
          <w:tcPr>
            <w:tcW w:w="3917" w:type="dxa"/>
          </w:tcPr>
          <w:p w14:paraId="0B32B3F7" w14:textId="77777777" w:rsidR="003E0D85" w:rsidRPr="006338D4" w:rsidRDefault="003E0D85" w:rsidP="00C42930">
            <w:pPr>
              <w:tabs>
                <w:tab w:val="left" w:pos="3149"/>
              </w:tabs>
              <w:rPr>
                <w:rFonts w:ascii="Poppins" w:hAnsi="Poppins" w:cs="Poppins"/>
              </w:rPr>
            </w:pPr>
          </w:p>
        </w:tc>
      </w:tr>
      <w:tr w:rsidR="00116AB5" w:rsidRPr="006338D4" w14:paraId="591E9D42" w14:textId="7635C8EE" w:rsidTr="00C9230B">
        <w:tc>
          <w:tcPr>
            <w:tcW w:w="9350" w:type="dxa"/>
            <w:gridSpan w:val="2"/>
          </w:tcPr>
          <w:p w14:paraId="086A40C2" w14:textId="293EEA39" w:rsidR="00116AB5" w:rsidRPr="006338D4" w:rsidRDefault="00116AB5" w:rsidP="00750AB7">
            <w:pPr>
              <w:jc w:val="center"/>
              <w:rPr>
                <w:rFonts w:ascii="Poppins" w:hAnsi="Poppins" w:cs="Poppins"/>
                <w:b/>
                <w:bCs/>
              </w:rPr>
            </w:pPr>
            <w:r w:rsidRPr="006338D4">
              <w:rPr>
                <w:rFonts w:ascii="Poppins" w:hAnsi="Poppins" w:cs="Poppins"/>
                <w:b/>
                <w:bCs/>
              </w:rPr>
              <w:lastRenderedPageBreak/>
              <w:t>CHAPTER 16. SITES ASSOCIATED WITH HAZARDOUS SUBSTANCES AND CONTAMINATED LAND</w:t>
            </w:r>
          </w:p>
        </w:tc>
      </w:tr>
      <w:tr w:rsidR="003E0D85" w:rsidRPr="006338D4" w14:paraId="491237C6" w14:textId="16B4C89D" w:rsidTr="003E0D85">
        <w:tc>
          <w:tcPr>
            <w:tcW w:w="5433" w:type="dxa"/>
          </w:tcPr>
          <w:p w14:paraId="271E1B83" w14:textId="44341121"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OBJECTIVE</w:t>
            </w:r>
          </w:p>
        </w:tc>
        <w:tc>
          <w:tcPr>
            <w:tcW w:w="3917" w:type="dxa"/>
          </w:tcPr>
          <w:p w14:paraId="3080E01D" w14:textId="78D7439A" w:rsidR="003E0D85" w:rsidRPr="006338D4" w:rsidRDefault="00F311E8" w:rsidP="00750AB7">
            <w:pPr>
              <w:tabs>
                <w:tab w:val="left" w:pos="3149"/>
              </w:tabs>
              <w:jc w:val="center"/>
              <w:rPr>
                <w:rFonts w:ascii="Poppins" w:hAnsi="Poppins" w:cs="Poppins"/>
                <w:b/>
                <w:bCs/>
              </w:rPr>
            </w:pPr>
            <w:r w:rsidRPr="006338D4">
              <w:rPr>
                <w:rFonts w:ascii="Poppins" w:hAnsi="Poppins" w:cs="Poppins"/>
                <w:b/>
                <w:bCs/>
              </w:rPr>
              <w:t>Assessment</w:t>
            </w:r>
          </w:p>
        </w:tc>
      </w:tr>
      <w:tr w:rsidR="003E0D85" w:rsidRPr="006338D4" w14:paraId="7842BDA0" w14:textId="6616F9AB" w:rsidTr="003E0D85">
        <w:tc>
          <w:tcPr>
            <w:tcW w:w="5433" w:type="dxa"/>
          </w:tcPr>
          <w:p w14:paraId="50BCDBA2" w14:textId="22999B79" w:rsidR="003E0D85" w:rsidRPr="006338D4" w:rsidRDefault="003E0D85" w:rsidP="00116AB5">
            <w:pPr>
              <w:tabs>
                <w:tab w:val="left" w:pos="3149"/>
              </w:tabs>
              <w:rPr>
                <w:rFonts w:ascii="Poppins" w:hAnsi="Poppins" w:cs="Poppins"/>
              </w:rPr>
            </w:pPr>
            <w:r w:rsidRPr="006338D4">
              <w:rPr>
                <w:rFonts w:ascii="Poppins" w:hAnsi="Poppins" w:cs="Poppins"/>
              </w:rPr>
              <w:t>16.2.1 To avoid, remedy, or mitigate risks to the environment presented by discharges from contaminated land, including risks to human health, social, cultural, and amenity values, and soil and water quality.</w:t>
            </w:r>
          </w:p>
        </w:tc>
        <w:tc>
          <w:tcPr>
            <w:tcW w:w="3917" w:type="dxa"/>
          </w:tcPr>
          <w:p w14:paraId="1A7504D7" w14:textId="77777777" w:rsidR="003E0D85" w:rsidRPr="006338D4" w:rsidRDefault="003E0D85" w:rsidP="00C42930">
            <w:pPr>
              <w:tabs>
                <w:tab w:val="left" w:pos="3149"/>
              </w:tabs>
              <w:rPr>
                <w:rFonts w:ascii="Poppins" w:hAnsi="Poppins" w:cs="Poppins"/>
              </w:rPr>
            </w:pPr>
          </w:p>
        </w:tc>
      </w:tr>
      <w:tr w:rsidR="003E0D85" w:rsidRPr="006338D4" w14:paraId="49D14E63" w14:textId="74F3919C" w:rsidTr="003E0D85">
        <w:tc>
          <w:tcPr>
            <w:tcW w:w="5433" w:type="dxa"/>
          </w:tcPr>
          <w:p w14:paraId="6A25DE62" w14:textId="2A202115" w:rsidR="003E0D85" w:rsidRPr="006338D4" w:rsidRDefault="003E0D85" w:rsidP="00116AB5">
            <w:pPr>
              <w:tabs>
                <w:tab w:val="left" w:pos="3149"/>
              </w:tabs>
              <w:jc w:val="center"/>
              <w:rPr>
                <w:rFonts w:ascii="Poppins" w:hAnsi="Poppins" w:cs="Poppins"/>
                <w:b/>
                <w:bCs/>
              </w:rPr>
            </w:pPr>
            <w:r w:rsidRPr="006338D4">
              <w:rPr>
                <w:rFonts w:ascii="Poppins" w:hAnsi="Poppins" w:cs="Poppins"/>
                <w:b/>
                <w:bCs/>
              </w:rPr>
              <w:t>POLICIES</w:t>
            </w:r>
          </w:p>
        </w:tc>
        <w:tc>
          <w:tcPr>
            <w:tcW w:w="3917" w:type="dxa"/>
          </w:tcPr>
          <w:p w14:paraId="3F260748" w14:textId="77777777" w:rsidR="003E0D85" w:rsidRPr="006338D4" w:rsidRDefault="003E0D85" w:rsidP="00750AB7">
            <w:pPr>
              <w:tabs>
                <w:tab w:val="left" w:pos="3149"/>
              </w:tabs>
              <w:jc w:val="center"/>
              <w:rPr>
                <w:rFonts w:ascii="Poppins" w:hAnsi="Poppins" w:cs="Poppins"/>
                <w:b/>
                <w:bCs/>
              </w:rPr>
            </w:pPr>
          </w:p>
        </w:tc>
      </w:tr>
      <w:tr w:rsidR="003E0D85" w:rsidRPr="006338D4" w14:paraId="03A93CC9" w14:textId="086D5907" w:rsidTr="003E0D85">
        <w:tc>
          <w:tcPr>
            <w:tcW w:w="5433" w:type="dxa"/>
          </w:tcPr>
          <w:p w14:paraId="338EADAB" w14:textId="5884877F" w:rsidR="003E0D85" w:rsidRPr="006338D4" w:rsidRDefault="003E0D85" w:rsidP="00116AB5">
            <w:pPr>
              <w:tabs>
                <w:tab w:val="left" w:pos="3149"/>
              </w:tabs>
              <w:rPr>
                <w:rFonts w:ascii="Poppins" w:hAnsi="Poppins" w:cs="Poppins"/>
              </w:rPr>
            </w:pPr>
            <w:r w:rsidRPr="006338D4">
              <w:rPr>
                <w:rFonts w:ascii="Poppins" w:hAnsi="Poppins" w:cs="Poppins"/>
              </w:rPr>
              <w:t>16.3.1 To locate and maintain information on sites fitting the HAIL criteria in the West Coast region.</w:t>
            </w:r>
          </w:p>
        </w:tc>
        <w:tc>
          <w:tcPr>
            <w:tcW w:w="3917" w:type="dxa"/>
          </w:tcPr>
          <w:p w14:paraId="65FD0A4D" w14:textId="77777777" w:rsidR="003E0D85" w:rsidRPr="006338D4" w:rsidRDefault="003E0D85" w:rsidP="00C42930">
            <w:pPr>
              <w:tabs>
                <w:tab w:val="left" w:pos="3149"/>
              </w:tabs>
              <w:rPr>
                <w:rFonts w:ascii="Poppins" w:hAnsi="Poppins" w:cs="Poppins"/>
              </w:rPr>
            </w:pPr>
          </w:p>
        </w:tc>
      </w:tr>
      <w:tr w:rsidR="003E0D85" w:rsidRPr="006338D4" w14:paraId="15FDB9D4" w14:textId="4408BFB4" w:rsidTr="003E0D85">
        <w:tc>
          <w:tcPr>
            <w:tcW w:w="5433" w:type="dxa"/>
          </w:tcPr>
          <w:p w14:paraId="54387C19" w14:textId="3802EE3B" w:rsidR="003E0D85" w:rsidRPr="006338D4" w:rsidRDefault="003E0D85" w:rsidP="00116AB5">
            <w:pPr>
              <w:tabs>
                <w:tab w:val="left" w:pos="3149"/>
              </w:tabs>
              <w:rPr>
                <w:rFonts w:ascii="Poppins" w:hAnsi="Poppins" w:cs="Poppins"/>
              </w:rPr>
            </w:pPr>
            <w:r w:rsidRPr="006338D4">
              <w:rPr>
                <w:rFonts w:ascii="Poppins" w:hAnsi="Poppins" w:cs="Poppins"/>
              </w:rPr>
              <w:t>16.3.2. To contain and remediate, or appropriately manage, contaminated land that is causing significant adverse effects on the environment.</w:t>
            </w:r>
          </w:p>
        </w:tc>
        <w:tc>
          <w:tcPr>
            <w:tcW w:w="3917" w:type="dxa"/>
          </w:tcPr>
          <w:p w14:paraId="1EAF2D17" w14:textId="77777777" w:rsidR="003E0D85" w:rsidRPr="006338D4" w:rsidRDefault="003E0D85" w:rsidP="00C42930">
            <w:pPr>
              <w:tabs>
                <w:tab w:val="left" w:pos="3149"/>
              </w:tabs>
              <w:rPr>
                <w:rFonts w:ascii="Poppins" w:hAnsi="Poppins" w:cs="Poppins"/>
              </w:rPr>
            </w:pPr>
          </w:p>
        </w:tc>
      </w:tr>
    </w:tbl>
    <w:p w14:paraId="0C024DA6" w14:textId="77777777" w:rsidR="00510501" w:rsidRPr="006338D4" w:rsidRDefault="00510501">
      <w:pPr>
        <w:rPr>
          <w:rFonts w:ascii="Poppins" w:hAnsi="Poppins" w:cs="Poppins"/>
        </w:rPr>
      </w:pPr>
    </w:p>
    <w:sectPr w:rsidR="00510501" w:rsidRPr="006338D4" w:rsidSect="00154D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BE33" w14:textId="77777777" w:rsidR="0078079F" w:rsidRDefault="0078079F" w:rsidP="00EA5F66">
      <w:pPr>
        <w:spacing w:after="0" w:line="240" w:lineRule="auto"/>
      </w:pPr>
      <w:r>
        <w:separator/>
      </w:r>
    </w:p>
  </w:endnote>
  <w:endnote w:type="continuationSeparator" w:id="0">
    <w:p w14:paraId="7D8C31CD" w14:textId="77777777" w:rsidR="0078079F" w:rsidRDefault="0078079F" w:rsidP="00EA5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000E1" w14:textId="77777777" w:rsidR="0078079F" w:rsidRDefault="0078079F" w:rsidP="00EA5F66">
      <w:pPr>
        <w:spacing w:after="0" w:line="240" w:lineRule="auto"/>
      </w:pPr>
      <w:r>
        <w:separator/>
      </w:r>
    </w:p>
  </w:footnote>
  <w:footnote w:type="continuationSeparator" w:id="0">
    <w:p w14:paraId="48B19BB7" w14:textId="77777777" w:rsidR="0078079F" w:rsidRDefault="0078079F" w:rsidP="00EA5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0159" w14:textId="77777777" w:rsidR="00BE3701" w:rsidRDefault="00BE3701" w:rsidP="00BE3701">
    <w:pPr>
      <w:pStyle w:val="Header"/>
    </w:pPr>
    <w:r w:rsidRPr="004A78A4">
      <w:rPr>
        <w:rFonts w:ascii="Arial" w:eastAsia="Arial" w:hAnsi="Arial" w:cs="Arial"/>
        <w:noProof/>
        <w:sz w:val="24"/>
      </w:rPr>
      <mc:AlternateContent>
        <mc:Choice Requires="wps">
          <w:drawing>
            <wp:anchor distT="0" distB="0" distL="114300" distR="114300" simplePos="0" relativeHeight="251659264" behindDoc="0" locked="0" layoutInCell="1" allowOverlap="1" wp14:anchorId="5625E4FC" wp14:editId="06CE6E65">
              <wp:simplePos x="0" y="0"/>
              <wp:positionH relativeFrom="column">
                <wp:posOffset>-695325</wp:posOffset>
              </wp:positionH>
              <wp:positionV relativeFrom="paragraph">
                <wp:posOffset>-266700</wp:posOffset>
              </wp:positionV>
              <wp:extent cx="3800475" cy="56070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560705"/>
                      </a:xfrm>
                      <a:prstGeom prst="rect">
                        <a:avLst/>
                      </a:prstGeom>
                      <a:ln>
                        <a:noFill/>
                      </a:ln>
                    </wps:spPr>
                    <wps:txbx>
                      <w:txbxContent>
                        <w:p w14:paraId="1E4F4D78" w14:textId="77777777" w:rsidR="00BE3701" w:rsidRDefault="00BE3701" w:rsidP="00BE3701">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 </w:t>
                          </w:r>
                        </w:p>
                        <w:p w14:paraId="635BAE5D" w14:textId="53648A19" w:rsidR="00BE3701" w:rsidRPr="00994599" w:rsidRDefault="00BE3701" w:rsidP="00BE3701">
                          <w:pPr>
                            <w:spacing w:after="0"/>
                            <w:rPr>
                              <w:rFonts w:ascii="Poppins" w:hAnsi="Poppins" w:cs="Poppins"/>
                            </w:rPr>
                          </w:pPr>
                          <w:r>
                            <w:rPr>
                              <w:rFonts w:ascii="Poppins" w:hAnsi="Poppins" w:cs="Poppins"/>
                              <w:color w:val="FFFFFF"/>
                              <w:sz w:val="16"/>
                            </w:rPr>
                            <w:t xml:space="preserve">s15 Discharge of contaminants </w:t>
                          </w:r>
                          <w:r>
                            <w:rPr>
                              <w:rFonts w:ascii="Poppins" w:hAnsi="Poppins" w:cs="Poppins"/>
                              <w:color w:val="FFFFFF"/>
                              <w:sz w:val="16"/>
                            </w:rPr>
                            <w:t>to land</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625E4FC" id="Rectangle 1" o:spid="_x0000_s1026" style="position:absolute;margin-left:-54.75pt;margin-top:-21pt;width:299.25pt;height:4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" filled="f" stroked="f">
              <v:textbox inset="0,0,0,0">
                <w:txbxContent>
                  <w:p w14:paraId="1E4F4D78" w14:textId="77777777" w:rsidR="00BE3701" w:rsidRDefault="00BE3701" w:rsidP="00BE3701">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 </w:t>
                    </w:r>
                  </w:p>
                  <w:p w14:paraId="635BAE5D" w14:textId="53648A19" w:rsidR="00BE3701" w:rsidRPr="00994599" w:rsidRDefault="00BE3701" w:rsidP="00BE3701">
                    <w:pPr>
                      <w:spacing w:after="0"/>
                      <w:rPr>
                        <w:rFonts w:ascii="Poppins" w:hAnsi="Poppins" w:cs="Poppins"/>
                      </w:rPr>
                    </w:pPr>
                    <w:r>
                      <w:rPr>
                        <w:rFonts w:ascii="Poppins" w:hAnsi="Poppins" w:cs="Poppins"/>
                        <w:color w:val="FFFFFF"/>
                        <w:sz w:val="16"/>
                      </w:rPr>
                      <w:t xml:space="preserve">s15 Discharge of contaminants </w:t>
                    </w:r>
                    <w:r>
                      <w:rPr>
                        <w:rFonts w:ascii="Poppins" w:hAnsi="Poppins" w:cs="Poppins"/>
                        <w:color w:val="FFFFFF"/>
                        <w:sz w:val="16"/>
                      </w:rPr>
                      <w:t>to land</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386DB9CF" wp14:editId="647E1EFA">
          <wp:simplePos x="0" y="0"/>
          <wp:positionH relativeFrom="page">
            <wp:align>left</wp:align>
          </wp:positionH>
          <wp:positionV relativeFrom="paragraph">
            <wp:posOffset>-466725</wp:posOffset>
          </wp:positionV>
          <wp:extent cx="7781925"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81925"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085">
      <w:rPr>
        <w:noProof/>
        <w:sz w:val="28"/>
        <w:szCs w:val="28"/>
      </w:rPr>
      <w:drawing>
        <wp:anchor distT="0" distB="0" distL="114300" distR="114300" simplePos="0" relativeHeight="251661312" behindDoc="1" locked="0" layoutInCell="1" allowOverlap="1" wp14:anchorId="5577426C" wp14:editId="5B3C0EC3">
          <wp:simplePos x="0" y="0"/>
          <wp:positionH relativeFrom="page">
            <wp:posOffset>5114925</wp:posOffset>
          </wp:positionH>
          <wp:positionV relativeFrom="paragraph">
            <wp:posOffset>-287655</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698BD2" w14:textId="77777777" w:rsidR="00BE3701" w:rsidRDefault="00BE3701" w:rsidP="00BE3701">
    <w:pPr>
      <w:pStyle w:val="Header"/>
    </w:pPr>
  </w:p>
  <w:p w14:paraId="6594D25B" w14:textId="48DDCEBC" w:rsidR="00EA5F66" w:rsidRPr="00BE3701" w:rsidRDefault="00EA5F66" w:rsidP="00BE3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7E4"/>
    <w:multiLevelType w:val="hybridMultilevel"/>
    <w:tmpl w:val="C8AE734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51E392A"/>
    <w:multiLevelType w:val="hybridMultilevel"/>
    <w:tmpl w:val="B83A191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0D79A5"/>
    <w:multiLevelType w:val="hybridMultilevel"/>
    <w:tmpl w:val="357C413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FD75DBB"/>
    <w:multiLevelType w:val="hybridMultilevel"/>
    <w:tmpl w:val="FBA2345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42A342F"/>
    <w:multiLevelType w:val="hybridMultilevel"/>
    <w:tmpl w:val="E59E866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8CB6510"/>
    <w:multiLevelType w:val="hybridMultilevel"/>
    <w:tmpl w:val="986E1B4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B107244"/>
    <w:multiLevelType w:val="hybridMultilevel"/>
    <w:tmpl w:val="D19E3DA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5415FC6"/>
    <w:multiLevelType w:val="hybridMultilevel"/>
    <w:tmpl w:val="05F4B86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92530E6"/>
    <w:multiLevelType w:val="hybridMultilevel"/>
    <w:tmpl w:val="9F88A0D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4D6703"/>
    <w:multiLevelType w:val="hybridMultilevel"/>
    <w:tmpl w:val="FA34334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7E51219"/>
    <w:multiLevelType w:val="hybridMultilevel"/>
    <w:tmpl w:val="61B8376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C820E1D"/>
    <w:multiLevelType w:val="hybridMultilevel"/>
    <w:tmpl w:val="66A6760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F2D5B3E"/>
    <w:multiLevelType w:val="hybridMultilevel"/>
    <w:tmpl w:val="2A18552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0DF66E2"/>
    <w:multiLevelType w:val="hybridMultilevel"/>
    <w:tmpl w:val="94446CC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6556E49"/>
    <w:multiLevelType w:val="hybridMultilevel"/>
    <w:tmpl w:val="4A28399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7E14A48"/>
    <w:multiLevelType w:val="hybridMultilevel"/>
    <w:tmpl w:val="C23ACF2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2001921">
    <w:abstractNumId w:val="7"/>
  </w:num>
  <w:num w:numId="2" w16cid:durableId="350303395">
    <w:abstractNumId w:val="2"/>
  </w:num>
  <w:num w:numId="3" w16cid:durableId="458114585">
    <w:abstractNumId w:val="15"/>
  </w:num>
  <w:num w:numId="4" w16cid:durableId="1352418958">
    <w:abstractNumId w:val="4"/>
  </w:num>
  <w:num w:numId="5" w16cid:durableId="1131555394">
    <w:abstractNumId w:val="12"/>
  </w:num>
  <w:num w:numId="6" w16cid:durableId="1799906530">
    <w:abstractNumId w:val="9"/>
  </w:num>
  <w:num w:numId="7" w16cid:durableId="245845983">
    <w:abstractNumId w:val="13"/>
  </w:num>
  <w:num w:numId="8" w16cid:durableId="929391741">
    <w:abstractNumId w:val="1"/>
  </w:num>
  <w:num w:numId="9" w16cid:durableId="410003731">
    <w:abstractNumId w:val="11"/>
  </w:num>
  <w:num w:numId="10" w16cid:durableId="1832330836">
    <w:abstractNumId w:val="10"/>
  </w:num>
  <w:num w:numId="11" w16cid:durableId="2021659493">
    <w:abstractNumId w:val="6"/>
  </w:num>
  <w:num w:numId="12" w16cid:durableId="686905419">
    <w:abstractNumId w:val="3"/>
  </w:num>
  <w:num w:numId="13" w16cid:durableId="2017925534">
    <w:abstractNumId w:val="0"/>
  </w:num>
  <w:num w:numId="14" w16cid:durableId="1354764833">
    <w:abstractNumId w:val="5"/>
  </w:num>
  <w:num w:numId="15" w16cid:durableId="815418455">
    <w:abstractNumId w:val="14"/>
  </w:num>
  <w:num w:numId="16" w16cid:durableId="1001815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B9"/>
    <w:rsid w:val="000664E6"/>
    <w:rsid w:val="000675A4"/>
    <w:rsid w:val="00075F19"/>
    <w:rsid w:val="00081757"/>
    <w:rsid w:val="000F45B9"/>
    <w:rsid w:val="00116AB5"/>
    <w:rsid w:val="00146CA6"/>
    <w:rsid w:val="00154D89"/>
    <w:rsid w:val="001A1F28"/>
    <w:rsid w:val="00254040"/>
    <w:rsid w:val="002674A5"/>
    <w:rsid w:val="00281E70"/>
    <w:rsid w:val="002C05DF"/>
    <w:rsid w:val="002D3736"/>
    <w:rsid w:val="003246E6"/>
    <w:rsid w:val="003E0D85"/>
    <w:rsid w:val="004B0246"/>
    <w:rsid w:val="00510501"/>
    <w:rsid w:val="005A07C2"/>
    <w:rsid w:val="005D05E1"/>
    <w:rsid w:val="005D6366"/>
    <w:rsid w:val="00620588"/>
    <w:rsid w:val="0063089D"/>
    <w:rsid w:val="006338D4"/>
    <w:rsid w:val="00636BAF"/>
    <w:rsid w:val="0068037C"/>
    <w:rsid w:val="00750AB7"/>
    <w:rsid w:val="00752AA7"/>
    <w:rsid w:val="0078079F"/>
    <w:rsid w:val="00797CEE"/>
    <w:rsid w:val="0083337E"/>
    <w:rsid w:val="008B0574"/>
    <w:rsid w:val="008B216B"/>
    <w:rsid w:val="008F52D1"/>
    <w:rsid w:val="00923F18"/>
    <w:rsid w:val="009425C2"/>
    <w:rsid w:val="009A7BD8"/>
    <w:rsid w:val="00A10AA0"/>
    <w:rsid w:val="00B04670"/>
    <w:rsid w:val="00B40237"/>
    <w:rsid w:val="00B4245A"/>
    <w:rsid w:val="00B4527F"/>
    <w:rsid w:val="00BB2765"/>
    <w:rsid w:val="00BC12F0"/>
    <w:rsid w:val="00BE3701"/>
    <w:rsid w:val="00C0114C"/>
    <w:rsid w:val="00C26A37"/>
    <w:rsid w:val="00C3797B"/>
    <w:rsid w:val="00C407D8"/>
    <w:rsid w:val="00C426FA"/>
    <w:rsid w:val="00C42930"/>
    <w:rsid w:val="00D00930"/>
    <w:rsid w:val="00DA0252"/>
    <w:rsid w:val="00E36484"/>
    <w:rsid w:val="00E72CEB"/>
    <w:rsid w:val="00E92AF1"/>
    <w:rsid w:val="00EA5F66"/>
    <w:rsid w:val="00EE7C4B"/>
    <w:rsid w:val="00F311E8"/>
    <w:rsid w:val="00FB49DC"/>
    <w:rsid w:val="00FD2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D17E6"/>
  <w15:chartTrackingRefBased/>
  <w15:docId w15:val="{ABD1DC54-A90F-42A1-8476-296FB2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5B9"/>
    <w:rPr>
      <w:rFonts w:eastAsiaTheme="majorEastAsia" w:cstheme="majorBidi"/>
      <w:color w:val="272727" w:themeColor="text1" w:themeTint="D8"/>
    </w:rPr>
  </w:style>
  <w:style w:type="paragraph" w:styleId="Title">
    <w:name w:val="Title"/>
    <w:basedOn w:val="Normal"/>
    <w:next w:val="Normal"/>
    <w:link w:val="TitleChar"/>
    <w:uiPriority w:val="10"/>
    <w:qFormat/>
    <w:rsid w:val="000F4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5B9"/>
    <w:pPr>
      <w:spacing w:before="160"/>
      <w:jc w:val="center"/>
    </w:pPr>
    <w:rPr>
      <w:i/>
      <w:iCs/>
      <w:color w:val="404040" w:themeColor="text1" w:themeTint="BF"/>
    </w:rPr>
  </w:style>
  <w:style w:type="character" w:customStyle="1" w:styleId="QuoteChar">
    <w:name w:val="Quote Char"/>
    <w:basedOn w:val="DefaultParagraphFont"/>
    <w:link w:val="Quote"/>
    <w:uiPriority w:val="29"/>
    <w:rsid w:val="000F45B9"/>
    <w:rPr>
      <w:i/>
      <w:iCs/>
      <w:color w:val="404040" w:themeColor="text1" w:themeTint="BF"/>
    </w:rPr>
  </w:style>
  <w:style w:type="paragraph" w:styleId="ListParagraph">
    <w:name w:val="List Paragraph"/>
    <w:basedOn w:val="Normal"/>
    <w:uiPriority w:val="34"/>
    <w:qFormat/>
    <w:rsid w:val="000F45B9"/>
    <w:pPr>
      <w:ind w:left="720"/>
      <w:contextualSpacing/>
    </w:pPr>
  </w:style>
  <w:style w:type="character" w:styleId="IntenseEmphasis">
    <w:name w:val="Intense Emphasis"/>
    <w:basedOn w:val="DefaultParagraphFont"/>
    <w:uiPriority w:val="21"/>
    <w:qFormat/>
    <w:rsid w:val="000F45B9"/>
    <w:rPr>
      <w:i/>
      <w:iCs/>
      <w:color w:val="0F4761" w:themeColor="accent1" w:themeShade="BF"/>
    </w:rPr>
  </w:style>
  <w:style w:type="paragraph" w:styleId="IntenseQuote">
    <w:name w:val="Intense Quote"/>
    <w:basedOn w:val="Normal"/>
    <w:next w:val="Normal"/>
    <w:link w:val="IntenseQuoteChar"/>
    <w:uiPriority w:val="30"/>
    <w:qFormat/>
    <w:rsid w:val="000F4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5B9"/>
    <w:rPr>
      <w:i/>
      <w:iCs/>
      <w:color w:val="0F4761" w:themeColor="accent1" w:themeShade="BF"/>
    </w:rPr>
  </w:style>
  <w:style w:type="character" w:styleId="IntenseReference">
    <w:name w:val="Intense Reference"/>
    <w:basedOn w:val="DefaultParagraphFont"/>
    <w:uiPriority w:val="32"/>
    <w:qFormat/>
    <w:rsid w:val="000F45B9"/>
    <w:rPr>
      <w:b/>
      <w:bCs/>
      <w:smallCaps/>
      <w:color w:val="0F4761" w:themeColor="accent1" w:themeShade="BF"/>
      <w:spacing w:val="5"/>
    </w:rPr>
  </w:style>
  <w:style w:type="table" w:styleId="TableGrid">
    <w:name w:val="Table Grid"/>
    <w:basedOn w:val="TableNormal"/>
    <w:uiPriority w:val="39"/>
    <w:rsid w:val="00B40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5DF"/>
    <w:pPr>
      <w:spacing w:after="0" w:line="240" w:lineRule="auto"/>
    </w:pPr>
  </w:style>
  <w:style w:type="paragraph" w:styleId="Header">
    <w:name w:val="header"/>
    <w:basedOn w:val="Normal"/>
    <w:link w:val="HeaderChar"/>
    <w:uiPriority w:val="99"/>
    <w:unhideWhenUsed/>
    <w:rsid w:val="00EA5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F66"/>
  </w:style>
  <w:style w:type="paragraph" w:styleId="Footer">
    <w:name w:val="footer"/>
    <w:basedOn w:val="Normal"/>
    <w:link w:val="FooterChar"/>
    <w:uiPriority w:val="99"/>
    <w:unhideWhenUsed/>
    <w:rsid w:val="00EA5F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Tin Nguyen</cp:lastModifiedBy>
  <cp:revision>41</cp:revision>
  <dcterms:created xsi:type="dcterms:W3CDTF">2025-11-25T03:10:00Z</dcterms:created>
  <dcterms:modified xsi:type="dcterms:W3CDTF">2026-05-05T22:00:00Z</dcterms:modified>
</cp:coreProperties>
</file>