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2C42F" w14:textId="0D27E4AD" w:rsidR="002674A5" w:rsidRPr="006F6D44" w:rsidRDefault="002674A5" w:rsidP="000F45B9">
      <w:pPr>
        <w:rPr>
          <w:rFonts w:ascii="Poppins" w:hAnsi="Poppins" w:cs="Poppins"/>
          <w:b/>
          <w:bCs/>
        </w:rPr>
      </w:pPr>
    </w:p>
    <w:tbl>
      <w:tblPr>
        <w:tblStyle w:val="TableGrid"/>
        <w:tblW w:w="0" w:type="auto"/>
        <w:tblLook w:val="04A0" w:firstRow="1" w:lastRow="0" w:firstColumn="1" w:lastColumn="0" w:noHBand="0" w:noVBand="1"/>
      </w:tblPr>
      <w:tblGrid>
        <w:gridCol w:w="5433"/>
        <w:gridCol w:w="3917"/>
      </w:tblGrid>
      <w:tr w:rsidR="00116AB5" w:rsidRPr="006F6D44" w14:paraId="1239A75C" w14:textId="641FE1CA" w:rsidTr="00543175">
        <w:tc>
          <w:tcPr>
            <w:tcW w:w="9350" w:type="dxa"/>
            <w:gridSpan w:val="2"/>
          </w:tcPr>
          <w:p w14:paraId="36260176" w14:textId="79B76E30" w:rsidR="00116AB5" w:rsidRPr="006F6D44" w:rsidRDefault="00116AB5" w:rsidP="00B40237">
            <w:pPr>
              <w:jc w:val="center"/>
              <w:rPr>
                <w:rFonts w:ascii="Poppins" w:hAnsi="Poppins" w:cs="Poppins"/>
                <w:b/>
                <w:bCs/>
              </w:rPr>
            </w:pPr>
            <w:r w:rsidRPr="006F6D44">
              <w:rPr>
                <w:rFonts w:ascii="Poppins" w:hAnsi="Poppins" w:cs="Poppins"/>
                <w:b/>
                <w:bCs/>
              </w:rPr>
              <w:t>CHAPTER 8. SURFACE WATER QUALITY</w:t>
            </w:r>
          </w:p>
        </w:tc>
      </w:tr>
      <w:tr w:rsidR="003E0D85" w:rsidRPr="006F6D44" w14:paraId="5E54AB3B" w14:textId="0F19C5A4" w:rsidTr="003E0D85">
        <w:tc>
          <w:tcPr>
            <w:tcW w:w="5433" w:type="dxa"/>
          </w:tcPr>
          <w:p w14:paraId="48D63FA6" w14:textId="057415DF" w:rsidR="003E0D85" w:rsidRPr="006F6D44" w:rsidRDefault="003E0D85" w:rsidP="00116AB5">
            <w:pPr>
              <w:jc w:val="center"/>
              <w:rPr>
                <w:rFonts w:ascii="Poppins" w:hAnsi="Poppins" w:cs="Poppins"/>
                <w:b/>
                <w:bCs/>
              </w:rPr>
            </w:pPr>
            <w:r w:rsidRPr="006F6D44">
              <w:rPr>
                <w:rFonts w:ascii="Poppins" w:hAnsi="Poppins" w:cs="Poppins"/>
                <w:b/>
                <w:bCs/>
              </w:rPr>
              <w:t>OBJECTIVE</w:t>
            </w:r>
          </w:p>
        </w:tc>
        <w:tc>
          <w:tcPr>
            <w:tcW w:w="3917" w:type="dxa"/>
          </w:tcPr>
          <w:p w14:paraId="6ABFE65D" w14:textId="41721BC9" w:rsidR="003E0D85" w:rsidRPr="006F6D44" w:rsidRDefault="00116AB5" w:rsidP="00B40237">
            <w:pPr>
              <w:jc w:val="center"/>
              <w:rPr>
                <w:rFonts w:ascii="Poppins" w:hAnsi="Poppins" w:cs="Poppins"/>
                <w:b/>
                <w:bCs/>
              </w:rPr>
            </w:pPr>
            <w:r w:rsidRPr="006F6D44">
              <w:rPr>
                <w:rFonts w:ascii="Poppins" w:hAnsi="Poppins" w:cs="Poppins"/>
                <w:b/>
                <w:bCs/>
              </w:rPr>
              <w:t>Assessment</w:t>
            </w:r>
          </w:p>
        </w:tc>
      </w:tr>
      <w:tr w:rsidR="003E0D85" w:rsidRPr="006F6D44" w14:paraId="5199035E" w14:textId="7E313A99" w:rsidTr="003E0D85">
        <w:tc>
          <w:tcPr>
            <w:tcW w:w="5433" w:type="dxa"/>
          </w:tcPr>
          <w:p w14:paraId="6D2FEAFE" w14:textId="77777777" w:rsidR="003E0D85" w:rsidRPr="006F6D44" w:rsidRDefault="003E0D85">
            <w:pPr>
              <w:rPr>
                <w:rFonts w:ascii="Poppins" w:hAnsi="Poppins" w:cs="Poppins"/>
              </w:rPr>
            </w:pPr>
            <w:r w:rsidRPr="006F6D44">
              <w:rPr>
                <w:rFonts w:ascii="Poppins" w:hAnsi="Poppins" w:cs="Poppins"/>
              </w:rPr>
              <w:t xml:space="preserve">8.2.1 To maintain or enhance the quality of the West Coast’s water.  </w:t>
            </w:r>
          </w:p>
          <w:p w14:paraId="7139CDCC" w14:textId="4D28D635" w:rsidR="003E0D85" w:rsidRPr="006F6D44" w:rsidRDefault="003E0D85">
            <w:pPr>
              <w:rPr>
                <w:rFonts w:ascii="Poppins" w:hAnsi="Poppins" w:cs="Poppins"/>
              </w:rPr>
            </w:pPr>
          </w:p>
        </w:tc>
        <w:tc>
          <w:tcPr>
            <w:tcW w:w="3917" w:type="dxa"/>
          </w:tcPr>
          <w:p w14:paraId="41A2039B" w14:textId="77777777" w:rsidR="003E0D85" w:rsidRPr="006F6D44" w:rsidRDefault="003E0D85">
            <w:pPr>
              <w:rPr>
                <w:rFonts w:ascii="Poppins" w:hAnsi="Poppins" w:cs="Poppins"/>
              </w:rPr>
            </w:pPr>
          </w:p>
        </w:tc>
      </w:tr>
      <w:tr w:rsidR="003E0D85" w:rsidRPr="006F6D44" w14:paraId="3BE38626" w14:textId="719810CC" w:rsidTr="003E0D85">
        <w:tc>
          <w:tcPr>
            <w:tcW w:w="5433" w:type="dxa"/>
          </w:tcPr>
          <w:p w14:paraId="76231B84" w14:textId="726CAB86" w:rsidR="003E0D85" w:rsidRPr="006F6D44" w:rsidRDefault="003E0D85" w:rsidP="00116AB5">
            <w:pPr>
              <w:jc w:val="center"/>
              <w:rPr>
                <w:rFonts w:ascii="Poppins" w:hAnsi="Poppins" w:cs="Poppins"/>
                <w:b/>
                <w:bCs/>
              </w:rPr>
            </w:pPr>
            <w:r w:rsidRPr="006F6D44">
              <w:rPr>
                <w:rFonts w:ascii="Poppins" w:hAnsi="Poppins" w:cs="Poppins"/>
                <w:b/>
                <w:bCs/>
              </w:rPr>
              <w:t>POLICIES</w:t>
            </w:r>
          </w:p>
        </w:tc>
        <w:tc>
          <w:tcPr>
            <w:tcW w:w="3917" w:type="dxa"/>
          </w:tcPr>
          <w:p w14:paraId="71C948C2" w14:textId="295CAD83" w:rsidR="003E0D85" w:rsidRPr="006F6D44" w:rsidRDefault="003E0D85" w:rsidP="00B40237">
            <w:pPr>
              <w:jc w:val="center"/>
              <w:rPr>
                <w:rFonts w:ascii="Poppins" w:hAnsi="Poppins" w:cs="Poppins"/>
                <w:b/>
                <w:bCs/>
              </w:rPr>
            </w:pPr>
          </w:p>
        </w:tc>
      </w:tr>
      <w:tr w:rsidR="003E0D85" w:rsidRPr="006F6D44" w14:paraId="2886DE1A" w14:textId="01C4DA7F" w:rsidTr="003E0D85">
        <w:tc>
          <w:tcPr>
            <w:tcW w:w="5433" w:type="dxa"/>
          </w:tcPr>
          <w:p w14:paraId="229E2890" w14:textId="3B93E343" w:rsidR="003E0D85" w:rsidRPr="006F6D44" w:rsidRDefault="003E0D85" w:rsidP="00116AB5">
            <w:pPr>
              <w:rPr>
                <w:rFonts w:ascii="Poppins" w:hAnsi="Poppins" w:cs="Poppins"/>
              </w:rPr>
            </w:pPr>
            <w:r w:rsidRPr="006F6D44">
              <w:rPr>
                <w:rFonts w:ascii="Poppins" w:hAnsi="Poppins" w:cs="Poppins"/>
              </w:rPr>
              <w:t>8.3.1. The West Coast Regional Council will manage the swimming areas identified in Schedule 9 for contact recreation purposes (Class CR) and all other surface water bodies in the region for aquatic ecosystem purposes (Class AE).</w:t>
            </w:r>
          </w:p>
        </w:tc>
        <w:tc>
          <w:tcPr>
            <w:tcW w:w="3917" w:type="dxa"/>
          </w:tcPr>
          <w:p w14:paraId="77FEF3C1" w14:textId="77777777" w:rsidR="003E0D85" w:rsidRPr="006F6D44" w:rsidRDefault="003E0D85">
            <w:pPr>
              <w:rPr>
                <w:rFonts w:ascii="Poppins" w:hAnsi="Poppins" w:cs="Poppins"/>
              </w:rPr>
            </w:pPr>
          </w:p>
        </w:tc>
      </w:tr>
      <w:tr w:rsidR="003E0D85" w:rsidRPr="006F6D44" w14:paraId="6F54D597" w14:textId="1E189077" w:rsidTr="003E0D85">
        <w:tc>
          <w:tcPr>
            <w:tcW w:w="5433" w:type="dxa"/>
          </w:tcPr>
          <w:p w14:paraId="13AAA5ED" w14:textId="77777777" w:rsidR="003E0D85" w:rsidRPr="006F6D44" w:rsidRDefault="003E0D85">
            <w:pPr>
              <w:rPr>
                <w:rFonts w:ascii="Poppins" w:hAnsi="Poppins" w:cs="Poppins"/>
              </w:rPr>
            </w:pPr>
            <w:r w:rsidRPr="006F6D44">
              <w:rPr>
                <w:rFonts w:ascii="Poppins" w:hAnsi="Poppins" w:cs="Poppins"/>
              </w:rPr>
              <w:t xml:space="preserve">8.3.2. Rivers which have acid drainage issues will be managed as follows: </w:t>
            </w:r>
          </w:p>
          <w:p w14:paraId="7AAC0213" w14:textId="56CB4822" w:rsidR="003E0D85" w:rsidRPr="006F6D44" w:rsidRDefault="003E0D85" w:rsidP="00081757">
            <w:pPr>
              <w:pStyle w:val="ListParagraph"/>
              <w:numPr>
                <w:ilvl w:val="0"/>
                <w:numId w:val="1"/>
              </w:numPr>
              <w:rPr>
                <w:rFonts w:ascii="Poppins" w:hAnsi="Poppins" w:cs="Poppins"/>
              </w:rPr>
            </w:pPr>
            <w:r w:rsidRPr="006F6D44">
              <w:rPr>
                <w:rFonts w:ascii="Poppins" w:hAnsi="Poppins" w:cs="Poppins"/>
              </w:rPr>
              <w:t xml:space="preserve">Activities that reduce pH of receiving waters must avoid, remedy or mitigate acidity effects and should achieve the natural pH level of the affected river wherever practicable; and  </w:t>
            </w:r>
          </w:p>
          <w:p w14:paraId="5903515A" w14:textId="7512803D" w:rsidR="003E0D85" w:rsidRPr="006F6D44" w:rsidRDefault="003E0D85" w:rsidP="00116AB5">
            <w:pPr>
              <w:pStyle w:val="ListParagraph"/>
              <w:numPr>
                <w:ilvl w:val="0"/>
                <w:numId w:val="1"/>
              </w:numPr>
              <w:rPr>
                <w:rFonts w:ascii="Poppins" w:hAnsi="Poppins" w:cs="Poppins"/>
              </w:rPr>
            </w:pPr>
            <w:r w:rsidRPr="006F6D44">
              <w:rPr>
                <w:rFonts w:ascii="Poppins" w:hAnsi="Poppins" w:cs="Poppins"/>
              </w:rPr>
              <w:t>Activities that increase dissolved iron concentrations or the concentration of any other metal or non-metal in the receiving water must avoid, remedy or mitigate adverse effects and the natural metal/non-metal concentration of the receiving water should be achieved wherever practicable.</w:t>
            </w:r>
          </w:p>
        </w:tc>
        <w:tc>
          <w:tcPr>
            <w:tcW w:w="3917" w:type="dxa"/>
          </w:tcPr>
          <w:p w14:paraId="2F6AD99B" w14:textId="77777777" w:rsidR="003E0D85" w:rsidRPr="006F6D44" w:rsidRDefault="003E0D85">
            <w:pPr>
              <w:rPr>
                <w:rFonts w:ascii="Poppins" w:hAnsi="Poppins" w:cs="Poppins"/>
              </w:rPr>
            </w:pPr>
          </w:p>
        </w:tc>
      </w:tr>
      <w:tr w:rsidR="003E0D85" w:rsidRPr="006F6D44" w14:paraId="003EFBB5" w14:textId="7D53A191" w:rsidTr="003E0D85">
        <w:tc>
          <w:tcPr>
            <w:tcW w:w="5433" w:type="dxa"/>
          </w:tcPr>
          <w:p w14:paraId="49E8BA46" w14:textId="350B0D2C" w:rsidR="003E0D85" w:rsidRPr="006F6D44" w:rsidRDefault="003E0D85" w:rsidP="00116AB5">
            <w:pPr>
              <w:rPr>
                <w:rFonts w:ascii="Poppins" w:hAnsi="Poppins" w:cs="Poppins"/>
              </w:rPr>
            </w:pPr>
            <w:r w:rsidRPr="006F6D44">
              <w:rPr>
                <w:rFonts w:ascii="Poppins" w:hAnsi="Poppins" w:cs="Poppins"/>
              </w:rPr>
              <w:t xml:space="preserve">8.3.3 To encourage the remediation of orphan sites as a method to enhance existing water quality and offset adverse effects from new mining developments.  </w:t>
            </w:r>
          </w:p>
        </w:tc>
        <w:tc>
          <w:tcPr>
            <w:tcW w:w="3917" w:type="dxa"/>
          </w:tcPr>
          <w:p w14:paraId="0C6A25E6" w14:textId="77777777" w:rsidR="003E0D85" w:rsidRPr="006F6D44" w:rsidRDefault="003E0D85">
            <w:pPr>
              <w:rPr>
                <w:rFonts w:ascii="Poppins" w:hAnsi="Poppins" w:cs="Poppins"/>
              </w:rPr>
            </w:pPr>
          </w:p>
        </w:tc>
      </w:tr>
      <w:tr w:rsidR="003E0D85" w:rsidRPr="006F6D44" w14:paraId="11B0136B" w14:textId="0116543A" w:rsidTr="003E0D85">
        <w:tc>
          <w:tcPr>
            <w:tcW w:w="5433" w:type="dxa"/>
          </w:tcPr>
          <w:p w14:paraId="6B2BFDAF" w14:textId="3ACD507A" w:rsidR="003E0D85" w:rsidRPr="006F6D44" w:rsidRDefault="003E0D85" w:rsidP="00116AB5">
            <w:pPr>
              <w:rPr>
                <w:rFonts w:ascii="Poppins" w:hAnsi="Poppins" w:cs="Poppins"/>
              </w:rPr>
            </w:pPr>
            <w:r w:rsidRPr="006F6D44">
              <w:rPr>
                <w:rFonts w:ascii="Poppins" w:hAnsi="Poppins" w:cs="Poppins"/>
              </w:rPr>
              <w:t xml:space="preserve">8.3.4 When considering applications for new resource consents for existing discharges of contaminants to water, to have regard to opportunities to enhance the existing water quality of the receiving water body at any location for which the existing water quality </w:t>
            </w:r>
            <w:r w:rsidRPr="006F6D44">
              <w:rPr>
                <w:rFonts w:ascii="Poppins" w:hAnsi="Poppins" w:cs="Poppins"/>
              </w:rPr>
              <w:lastRenderedPageBreak/>
              <w:t>can be considered degraded in terms of its capacity to support its natural and human use values.</w:t>
            </w:r>
          </w:p>
        </w:tc>
        <w:tc>
          <w:tcPr>
            <w:tcW w:w="3917" w:type="dxa"/>
          </w:tcPr>
          <w:p w14:paraId="50A9DC08" w14:textId="77777777" w:rsidR="003E0D85" w:rsidRPr="006F6D44" w:rsidRDefault="003E0D85">
            <w:pPr>
              <w:rPr>
                <w:rFonts w:ascii="Poppins" w:hAnsi="Poppins" w:cs="Poppins"/>
              </w:rPr>
            </w:pPr>
          </w:p>
        </w:tc>
      </w:tr>
      <w:tr w:rsidR="003E0D85" w:rsidRPr="006F6D44" w14:paraId="0082E58F" w14:textId="3D7FA0B0" w:rsidTr="003E0D85">
        <w:tc>
          <w:tcPr>
            <w:tcW w:w="5433" w:type="dxa"/>
          </w:tcPr>
          <w:p w14:paraId="3186AFC5" w14:textId="77777777" w:rsidR="003E0D85" w:rsidRPr="006F6D44" w:rsidRDefault="003E0D85">
            <w:pPr>
              <w:rPr>
                <w:rFonts w:ascii="Poppins" w:hAnsi="Poppins" w:cs="Poppins"/>
              </w:rPr>
            </w:pPr>
            <w:r w:rsidRPr="006F6D44">
              <w:rPr>
                <w:rFonts w:ascii="Poppins" w:hAnsi="Poppins" w:cs="Poppins"/>
              </w:rPr>
              <w:t xml:space="preserve">8.3.5 When considering applications for resource consents to discharge contaminants to water to have regard to: </w:t>
            </w:r>
          </w:p>
          <w:p w14:paraId="024649F0" w14:textId="5E4FE39E" w:rsidR="003E0D85" w:rsidRPr="006F6D44" w:rsidRDefault="003E0D85" w:rsidP="005D6366">
            <w:pPr>
              <w:pStyle w:val="ListParagraph"/>
              <w:numPr>
                <w:ilvl w:val="0"/>
                <w:numId w:val="3"/>
              </w:numPr>
              <w:rPr>
                <w:rFonts w:ascii="Poppins" w:hAnsi="Poppins" w:cs="Poppins"/>
              </w:rPr>
            </w:pPr>
            <w:r w:rsidRPr="006F6D44">
              <w:rPr>
                <w:rFonts w:ascii="Poppins" w:hAnsi="Poppins" w:cs="Poppins"/>
              </w:rPr>
              <w:t xml:space="preserve">The nature of the discharge and the sensitivity of the receiving environment to adverse effects; </w:t>
            </w:r>
          </w:p>
          <w:p w14:paraId="23573671" w14:textId="7B90EFA3" w:rsidR="003E0D85" w:rsidRPr="006F6D44" w:rsidRDefault="003E0D85" w:rsidP="005D6366">
            <w:pPr>
              <w:pStyle w:val="ListParagraph"/>
              <w:numPr>
                <w:ilvl w:val="0"/>
                <w:numId w:val="3"/>
              </w:numPr>
              <w:rPr>
                <w:rFonts w:ascii="Poppins" w:hAnsi="Poppins" w:cs="Poppins"/>
              </w:rPr>
            </w:pPr>
            <w:r w:rsidRPr="006F6D44">
              <w:rPr>
                <w:rFonts w:ascii="Poppins" w:hAnsi="Poppins" w:cs="Poppins"/>
              </w:rPr>
              <w:t xml:space="preserve">The financial implications, and the effects on the environment of the proposed method of discharge when compared with other options;  </w:t>
            </w:r>
          </w:p>
          <w:p w14:paraId="2F6F000C" w14:textId="14D85A1F" w:rsidR="003E0D85" w:rsidRPr="006F6D44" w:rsidRDefault="003E0D85" w:rsidP="005D6366">
            <w:pPr>
              <w:pStyle w:val="ListParagraph"/>
              <w:numPr>
                <w:ilvl w:val="0"/>
                <w:numId w:val="3"/>
              </w:numPr>
              <w:rPr>
                <w:rFonts w:ascii="Poppins" w:hAnsi="Poppins" w:cs="Poppins"/>
              </w:rPr>
            </w:pPr>
            <w:r w:rsidRPr="006F6D44">
              <w:rPr>
                <w:rFonts w:ascii="Poppins" w:hAnsi="Poppins" w:cs="Poppins"/>
              </w:rPr>
              <w:t xml:space="preserve">The current environmental mitigation technology and the likelihood that the proposed method can be successfully applied;  </w:t>
            </w:r>
          </w:p>
          <w:p w14:paraId="48B3F7EE" w14:textId="5E899310" w:rsidR="003E0D85" w:rsidRPr="006F6D44" w:rsidRDefault="003E0D85" w:rsidP="005D6366">
            <w:pPr>
              <w:pStyle w:val="ListParagraph"/>
              <w:numPr>
                <w:ilvl w:val="0"/>
                <w:numId w:val="3"/>
              </w:numPr>
              <w:rPr>
                <w:rFonts w:ascii="Poppins" w:hAnsi="Poppins" w:cs="Poppins"/>
              </w:rPr>
            </w:pPr>
            <w:r w:rsidRPr="006F6D44">
              <w:rPr>
                <w:rFonts w:ascii="Poppins" w:hAnsi="Poppins" w:cs="Poppins"/>
              </w:rPr>
              <w:t xml:space="preserve">The cumulative effects of discharges of contaminants and the assimilative capacity of the water body and actual or potential effects in the coastal marine area;  </w:t>
            </w:r>
          </w:p>
          <w:p w14:paraId="6AB9017D" w14:textId="692E4751" w:rsidR="003E0D85" w:rsidRPr="006F6D44" w:rsidRDefault="003E0D85" w:rsidP="005D6366">
            <w:pPr>
              <w:pStyle w:val="ListParagraph"/>
              <w:numPr>
                <w:ilvl w:val="0"/>
                <w:numId w:val="3"/>
              </w:numPr>
              <w:rPr>
                <w:rFonts w:ascii="Poppins" w:hAnsi="Poppins" w:cs="Poppins"/>
              </w:rPr>
            </w:pPr>
            <w:r w:rsidRPr="006F6D44">
              <w:rPr>
                <w:rFonts w:ascii="Poppins" w:hAnsi="Poppins" w:cs="Poppins"/>
              </w:rPr>
              <w:t xml:space="preserve">Any relevant industry codes of practice or guidelines relating to the management of potential discharges; and </w:t>
            </w:r>
          </w:p>
          <w:p w14:paraId="6C0E6D45" w14:textId="65D4664B" w:rsidR="003E0D85" w:rsidRPr="006F6D44" w:rsidRDefault="003E0D85" w:rsidP="00116AB5">
            <w:pPr>
              <w:pStyle w:val="ListParagraph"/>
              <w:numPr>
                <w:ilvl w:val="0"/>
                <w:numId w:val="3"/>
              </w:numPr>
              <w:rPr>
                <w:rFonts w:ascii="Poppins" w:hAnsi="Poppins" w:cs="Poppins"/>
              </w:rPr>
            </w:pPr>
            <w:r w:rsidRPr="006F6D44">
              <w:rPr>
                <w:rFonts w:ascii="Poppins" w:hAnsi="Poppins" w:cs="Poppins"/>
              </w:rPr>
              <w:t>(f) The best practicable option for the treatment and disposal of sewage effluent, including the use of land disposal or wetland treatment.</w:t>
            </w:r>
          </w:p>
        </w:tc>
        <w:tc>
          <w:tcPr>
            <w:tcW w:w="3917" w:type="dxa"/>
          </w:tcPr>
          <w:p w14:paraId="644447A4" w14:textId="77777777" w:rsidR="003E0D85" w:rsidRPr="006F6D44" w:rsidRDefault="003E0D85">
            <w:pPr>
              <w:rPr>
                <w:rFonts w:ascii="Poppins" w:hAnsi="Poppins" w:cs="Poppins"/>
              </w:rPr>
            </w:pPr>
          </w:p>
        </w:tc>
      </w:tr>
      <w:tr w:rsidR="003E0D85" w:rsidRPr="006F6D44" w14:paraId="369412CE" w14:textId="6687A36A" w:rsidTr="003E0D85">
        <w:tc>
          <w:tcPr>
            <w:tcW w:w="5433" w:type="dxa"/>
          </w:tcPr>
          <w:p w14:paraId="5B887843" w14:textId="77777777" w:rsidR="003E0D85" w:rsidRPr="006F6D44" w:rsidRDefault="003E0D85">
            <w:pPr>
              <w:rPr>
                <w:rFonts w:ascii="Poppins" w:hAnsi="Poppins" w:cs="Poppins"/>
              </w:rPr>
            </w:pPr>
            <w:r w:rsidRPr="006F6D44">
              <w:rPr>
                <w:rFonts w:ascii="Poppins" w:hAnsi="Poppins" w:cs="Poppins"/>
              </w:rPr>
              <w:t xml:space="preserve">8.3.6 Mixing zones will be required for the discharge of contaminants to water. These will be limited to the extent necessary to take account of: </w:t>
            </w:r>
          </w:p>
          <w:p w14:paraId="00FA6B5E" w14:textId="2036AF9F" w:rsidR="003E0D85" w:rsidRPr="006F6D44" w:rsidRDefault="003E0D85" w:rsidP="00FD2499">
            <w:pPr>
              <w:pStyle w:val="ListParagraph"/>
              <w:numPr>
                <w:ilvl w:val="0"/>
                <w:numId w:val="5"/>
              </w:numPr>
              <w:rPr>
                <w:rFonts w:ascii="Poppins" w:hAnsi="Poppins" w:cs="Poppins"/>
              </w:rPr>
            </w:pPr>
            <w:r w:rsidRPr="006F6D44">
              <w:rPr>
                <w:rFonts w:ascii="Poppins" w:hAnsi="Poppins" w:cs="Poppins"/>
              </w:rPr>
              <w:t xml:space="preserve">Water quality classes; </w:t>
            </w:r>
          </w:p>
          <w:p w14:paraId="678F5C97" w14:textId="5D1280AD" w:rsidR="003E0D85" w:rsidRPr="006F6D44" w:rsidRDefault="003E0D85" w:rsidP="00FD2499">
            <w:pPr>
              <w:pStyle w:val="ListParagraph"/>
              <w:numPr>
                <w:ilvl w:val="0"/>
                <w:numId w:val="5"/>
              </w:numPr>
              <w:rPr>
                <w:rFonts w:ascii="Poppins" w:hAnsi="Poppins" w:cs="Poppins"/>
              </w:rPr>
            </w:pPr>
            <w:r w:rsidRPr="006F6D44">
              <w:rPr>
                <w:rFonts w:ascii="Poppins" w:hAnsi="Poppins" w:cs="Poppins"/>
              </w:rPr>
              <w:t xml:space="preserve">The size and sensitivity of the receiving environment; </w:t>
            </w:r>
          </w:p>
          <w:p w14:paraId="090A7520" w14:textId="73022881" w:rsidR="003E0D85" w:rsidRPr="006F6D44" w:rsidRDefault="003E0D85" w:rsidP="00FD2499">
            <w:pPr>
              <w:pStyle w:val="ListParagraph"/>
              <w:numPr>
                <w:ilvl w:val="0"/>
                <w:numId w:val="5"/>
              </w:numPr>
              <w:rPr>
                <w:rFonts w:ascii="Poppins" w:hAnsi="Poppins" w:cs="Poppins"/>
              </w:rPr>
            </w:pPr>
            <w:r w:rsidRPr="006F6D44">
              <w:rPr>
                <w:rFonts w:ascii="Poppins" w:hAnsi="Poppins" w:cs="Poppins"/>
              </w:rPr>
              <w:t xml:space="preserve">The matters identified in Policy 3.3.1; </w:t>
            </w:r>
          </w:p>
          <w:p w14:paraId="289A2E8F" w14:textId="29979B4F" w:rsidR="003E0D85" w:rsidRPr="006F6D44" w:rsidRDefault="003E0D85" w:rsidP="00FD2499">
            <w:pPr>
              <w:pStyle w:val="ListParagraph"/>
              <w:numPr>
                <w:ilvl w:val="0"/>
                <w:numId w:val="5"/>
              </w:numPr>
              <w:rPr>
                <w:rFonts w:ascii="Poppins" w:hAnsi="Poppins" w:cs="Poppins"/>
              </w:rPr>
            </w:pPr>
            <w:r w:rsidRPr="006F6D44">
              <w:rPr>
                <w:rFonts w:ascii="Poppins" w:hAnsi="Poppins" w:cs="Poppins"/>
              </w:rPr>
              <w:lastRenderedPageBreak/>
              <w:t xml:space="preserve">The physical processes acting on the area of discharge; and </w:t>
            </w:r>
          </w:p>
          <w:p w14:paraId="7E4BA208" w14:textId="7171630D" w:rsidR="003E0D85" w:rsidRPr="006F6D44" w:rsidRDefault="003E0D85" w:rsidP="00116AB5">
            <w:pPr>
              <w:pStyle w:val="ListParagraph"/>
              <w:numPr>
                <w:ilvl w:val="0"/>
                <w:numId w:val="5"/>
              </w:numPr>
              <w:rPr>
                <w:rFonts w:ascii="Poppins" w:hAnsi="Poppins" w:cs="Poppins"/>
              </w:rPr>
            </w:pPr>
            <w:r w:rsidRPr="006F6D44">
              <w:rPr>
                <w:rFonts w:ascii="Poppins" w:hAnsi="Poppins" w:cs="Poppins"/>
              </w:rPr>
              <w:t xml:space="preserve">The </w:t>
            </w:r>
            <w:proofErr w:type="gramStart"/>
            <w:r w:rsidRPr="006F6D44">
              <w:rPr>
                <w:rFonts w:ascii="Poppins" w:hAnsi="Poppins" w:cs="Poppins"/>
              </w:rPr>
              <w:t>particular discharge</w:t>
            </w:r>
            <w:proofErr w:type="gramEnd"/>
            <w:r w:rsidRPr="006F6D44">
              <w:rPr>
                <w:rFonts w:ascii="Poppins" w:hAnsi="Poppins" w:cs="Poppins"/>
              </w:rPr>
              <w:t>, including contaminant type, concentration, and volume.</w:t>
            </w:r>
          </w:p>
        </w:tc>
        <w:tc>
          <w:tcPr>
            <w:tcW w:w="3917" w:type="dxa"/>
          </w:tcPr>
          <w:p w14:paraId="7C9513DD" w14:textId="77777777" w:rsidR="003E0D85" w:rsidRPr="006F6D44" w:rsidRDefault="003E0D85">
            <w:pPr>
              <w:rPr>
                <w:rFonts w:ascii="Poppins" w:hAnsi="Poppins" w:cs="Poppins"/>
              </w:rPr>
            </w:pPr>
          </w:p>
        </w:tc>
      </w:tr>
      <w:tr w:rsidR="003E0D85" w:rsidRPr="006F6D44" w14:paraId="3E025725" w14:textId="78EE7C69" w:rsidTr="003E0D85">
        <w:tc>
          <w:tcPr>
            <w:tcW w:w="5433" w:type="dxa"/>
          </w:tcPr>
          <w:p w14:paraId="7EF810D5" w14:textId="77777777" w:rsidR="003E0D85" w:rsidRPr="006F6D44" w:rsidRDefault="003E0D85">
            <w:pPr>
              <w:rPr>
                <w:rFonts w:ascii="Poppins" w:hAnsi="Poppins" w:cs="Poppins"/>
              </w:rPr>
            </w:pPr>
            <w:r w:rsidRPr="006F6D44">
              <w:rPr>
                <w:rFonts w:ascii="Poppins" w:hAnsi="Poppins" w:cs="Poppins"/>
              </w:rPr>
              <w:t xml:space="preserve">8.3.7 The duration of any new resource consent for an existing discharge of contaminants will take account of the water quality class as listed in Policy 8.3.1 after reasonable mixing, and any anticipated adverse effects of the discharge on an affected water body, and: </w:t>
            </w:r>
          </w:p>
          <w:p w14:paraId="68DA0116" w14:textId="1C763960" w:rsidR="003E0D85" w:rsidRPr="006F6D44" w:rsidRDefault="003E0D85" w:rsidP="00B4527F">
            <w:pPr>
              <w:pStyle w:val="ListParagraph"/>
              <w:numPr>
                <w:ilvl w:val="0"/>
                <w:numId w:val="7"/>
              </w:numPr>
              <w:rPr>
                <w:rFonts w:ascii="Poppins" w:hAnsi="Poppins" w:cs="Poppins"/>
              </w:rPr>
            </w:pPr>
            <w:r w:rsidRPr="006F6D44">
              <w:rPr>
                <w:rFonts w:ascii="Poppins" w:hAnsi="Poppins" w:cs="Poppins"/>
              </w:rPr>
              <w:t xml:space="preserve">Will be up to 35 years where the discharge will meet the water quality class for the duration of the resource consent; or where the discharge achieves Polices 8.3.2 or 8.3.3 or 8.3.4. Or except where the purpose of the Act requires otherwise and/or where mitigation, remediation or offsetting achieves enhancement of water quality within the receiving water body or another water body in the Region; </w:t>
            </w:r>
          </w:p>
          <w:p w14:paraId="5B8C8A3F" w14:textId="0F1B707D" w:rsidR="003E0D85" w:rsidRPr="006F6D44" w:rsidRDefault="003E0D85" w:rsidP="00B4527F">
            <w:pPr>
              <w:pStyle w:val="ListParagraph"/>
              <w:numPr>
                <w:ilvl w:val="0"/>
                <w:numId w:val="7"/>
              </w:numPr>
              <w:rPr>
                <w:rFonts w:ascii="Poppins" w:hAnsi="Poppins" w:cs="Poppins"/>
              </w:rPr>
            </w:pPr>
            <w:r w:rsidRPr="006F6D44">
              <w:rPr>
                <w:rFonts w:ascii="Poppins" w:hAnsi="Poppins" w:cs="Poppins"/>
              </w:rPr>
              <w:t xml:space="preserve">Will be no more than 15 years where the discharge does not meet the water quality class but will progressively meet that standard within the duration of the resource consent; and </w:t>
            </w:r>
          </w:p>
          <w:p w14:paraId="2EA9AA98" w14:textId="09496E92" w:rsidR="003E0D85" w:rsidRPr="006F6D44" w:rsidRDefault="003E0D85" w:rsidP="00116AB5">
            <w:pPr>
              <w:pStyle w:val="ListParagraph"/>
              <w:numPr>
                <w:ilvl w:val="0"/>
                <w:numId w:val="7"/>
              </w:numPr>
              <w:rPr>
                <w:rFonts w:ascii="Poppins" w:hAnsi="Poppins" w:cs="Poppins"/>
              </w:rPr>
            </w:pPr>
            <w:r w:rsidRPr="006F6D44">
              <w:rPr>
                <w:rFonts w:ascii="Poppins" w:hAnsi="Poppins" w:cs="Poppins"/>
              </w:rPr>
              <w:t xml:space="preserve">Will be no more than 5 years where the discharge does not meet the water quality class; No resource consent, </w:t>
            </w:r>
            <w:proofErr w:type="gramStart"/>
            <w:r w:rsidRPr="006F6D44">
              <w:rPr>
                <w:rFonts w:ascii="Poppins" w:hAnsi="Poppins" w:cs="Poppins"/>
              </w:rPr>
              <w:t>subsequent to</w:t>
            </w:r>
            <w:proofErr w:type="gramEnd"/>
            <w:r w:rsidRPr="006F6D44">
              <w:rPr>
                <w:rFonts w:ascii="Poppins" w:hAnsi="Poppins" w:cs="Poppins"/>
              </w:rPr>
              <w:t xml:space="preserve"> one issued under (c), will be issued if the discharge still does not meet the water quality class.</w:t>
            </w:r>
          </w:p>
        </w:tc>
        <w:tc>
          <w:tcPr>
            <w:tcW w:w="3917" w:type="dxa"/>
          </w:tcPr>
          <w:p w14:paraId="7027C75F" w14:textId="77777777" w:rsidR="003E0D85" w:rsidRPr="006F6D44" w:rsidRDefault="003E0D85">
            <w:pPr>
              <w:rPr>
                <w:rFonts w:ascii="Poppins" w:hAnsi="Poppins" w:cs="Poppins"/>
              </w:rPr>
            </w:pPr>
          </w:p>
        </w:tc>
      </w:tr>
      <w:tr w:rsidR="003E0D85" w:rsidRPr="006F6D44" w14:paraId="7C18852F" w14:textId="1A844E5B" w:rsidTr="003E0D85">
        <w:tc>
          <w:tcPr>
            <w:tcW w:w="5433" w:type="dxa"/>
          </w:tcPr>
          <w:p w14:paraId="413CBBB2" w14:textId="77777777" w:rsidR="003E0D85" w:rsidRPr="006F6D44" w:rsidRDefault="003E0D85">
            <w:pPr>
              <w:rPr>
                <w:rFonts w:ascii="Poppins" w:hAnsi="Poppins" w:cs="Poppins"/>
              </w:rPr>
            </w:pPr>
            <w:r w:rsidRPr="006F6D44">
              <w:rPr>
                <w:rFonts w:ascii="Poppins" w:hAnsi="Poppins" w:cs="Poppins"/>
              </w:rPr>
              <w:t>8.3.8 With respect to discharges from any new stormwater reticulation system, or any extension to an existing stormwater reticulation system, to require:</w:t>
            </w:r>
          </w:p>
          <w:p w14:paraId="0E16C51F" w14:textId="0F1E8FE4" w:rsidR="003E0D85" w:rsidRPr="006F6D44" w:rsidRDefault="003E0D85" w:rsidP="00923F18">
            <w:pPr>
              <w:pStyle w:val="ListParagraph"/>
              <w:numPr>
                <w:ilvl w:val="0"/>
                <w:numId w:val="9"/>
              </w:numPr>
              <w:rPr>
                <w:rFonts w:ascii="Poppins" w:hAnsi="Poppins" w:cs="Poppins"/>
              </w:rPr>
            </w:pPr>
            <w:r w:rsidRPr="006F6D44">
              <w:rPr>
                <w:rFonts w:ascii="Poppins" w:hAnsi="Poppins" w:cs="Poppins"/>
              </w:rPr>
              <w:t xml:space="preserve">The separation of sewage and stormwater; </w:t>
            </w:r>
          </w:p>
          <w:p w14:paraId="5C7ED8DA" w14:textId="0A714EB4" w:rsidR="003E0D85" w:rsidRPr="006F6D44" w:rsidRDefault="003E0D85" w:rsidP="00923F18">
            <w:pPr>
              <w:pStyle w:val="ListParagraph"/>
              <w:numPr>
                <w:ilvl w:val="0"/>
                <w:numId w:val="9"/>
              </w:numPr>
              <w:rPr>
                <w:rFonts w:ascii="Poppins" w:hAnsi="Poppins" w:cs="Poppins"/>
              </w:rPr>
            </w:pPr>
            <w:r w:rsidRPr="006F6D44">
              <w:rPr>
                <w:rFonts w:ascii="Poppins" w:hAnsi="Poppins" w:cs="Poppins"/>
              </w:rPr>
              <w:lastRenderedPageBreak/>
              <w:t xml:space="preserve">The prevention of contamination by industrial or trade waste; and </w:t>
            </w:r>
          </w:p>
          <w:p w14:paraId="42B38595" w14:textId="13104A48" w:rsidR="003E0D85" w:rsidRPr="006F6D44" w:rsidRDefault="003E0D85" w:rsidP="00116AB5">
            <w:pPr>
              <w:pStyle w:val="ListParagraph"/>
              <w:numPr>
                <w:ilvl w:val="0"/>
                <w:numId w:val="9"/>
              </w:numPr>
              <w:rPr>
                <w:rFonts w:ascii="Poppins" w:hAnsi="Poppins" w:cs="Poppins"/>
              </w:rPr>
            </w:pPr>
            <w:r w:rsidRPr="006F6D44">
              <w:rPr>
                <w:rFonts w:ascii="Poppins" w:hAnsi="Poppins" w:cs="Poppins"/>
              </w:rPr>
              <w:t>The use of techniques to trap debris, sediments and nutrients present in runoff.</w:t>
            </w:r>
          </w:p>
        </w:tc>
        <w:tc>
          <w:tcPr>
            <w:tcW w:w="3917" w:type="dxa"/>
          </w:tcPr>
          <w:p w14:paraId="60BEC8DB" w14:textId="77777777" w:rsidR="003E0D85" w:rsidRPr="006F6D44" w:rsidRDefault="003E0D85">
            <w:pPr>
              <w:rPr>
                <w:rFonts w:ascii="Poppins" w:hAnsi="Poppins" w:cs="Poppins"/>
              </w:rPr>
            </w:pPr>
          </w:p>
        </w:tc>
      </w:tr>
      <w:tr w:rsidR="003E0D85" w:rsidRPr="006F6D44" w14:paraId="446001DC" w14:textId="304B0EEC" w:rsidTr="003E0D85">
        <w:tc>
          <w:tcPr>
            <w:tcW w:w="5433" w:type="dxa"/>
          </w:tcPr>
          <w:p w14:paraId="0C5F7033" w14:textId="389746D9" w:rsidR="003E0D85" w:rsidRPr="006F6D44" w:rsidRDefault="003E0D85" w:rsidP="00116AB5">
            <w:pPr>
              <w:rPr>
                <w:rFonts w:ascii="Poppins" w:hAnsi="Poppins" w:cs="Poppins"/>
              </w:rPr>
            </w:pPr>
            <w:r w:rsidRPr="006F6D44">
              <w:rPr>
                <w:rFonts w:ascii="Poppins" w:hAnsi="Poppins" w:cs="Poppins"/>
              </w:rPr>
              <w:t>8.3.9 To promote and enable the progressive upgrading of the quality of water discharged from existing stormwater reticulation systems where appropriate.</w:t>
            </w:r>
          </w:p>
        </w:tc>
        <w:tc>
          <w:tcPr>
            <w:tcW w:w="3917" w:type="dxa"/>
          </w:tcPr>
          <w:p w14:paraId="4A884B07" w14:textId="77777777" w:rsidR="003E0D85" w:rsidRPr="006F6D44" w:rsidRDefault="003E0D85">
            <w:pPr>
              <w:rPr>
                <w:rFonts w:ascii="Poppins" w:hAnsi="Poppins" w:cs="Poppins"/>
              </w:rPr>
            </w:pPr>
          </w:p>
        </w:tc>
      </w:tr>
      <w:tr w:rsidR="003E0D85" w:rsidRPr="006F6D44" w14:paraId="19EC607A" w14:textId="2B77F094" w:rsidTr="003E0D85">
        <w:tc>
          <w:tcPr>
            <w:tcW w:w="5433" w:type="dxa"/>
          </w:tcPr>
          <w:p w14:paraId="75AA1B75" w14:textId="04224B17" w:rsidR="003E0D85" w:rsidRPr="006F6D44" w:rsidRDefault="003E0D85" w:rsidP="00116AB5">
            <w:pPr>
              <w:rPr>
                <w:rFonts w:ascii="Poppins" w:hAnsi="Poppins" w:cs="Poppins"/>
              </w:rPr>
            </w:pPr>
            <w:r w:rsidRPr="006F6D44">
              <w:rPr>
                <w:rFonts w:ascii="Poppins" w:hAnsi="Poppins" w:cs="Poppins"/>
              </w:rPr>
              <w:t>8.3.10 To avoid the damming and subsequent inundation or diversion of water over contaminated land where it would result in an increased risk of contamination of water or, where avoidance is not practicable, to either require the removal or treatment of the contaminated land flow path management.</w:t>
            </w:r>
          </w:p>
        </w:tc>
        <w:tc>
          <w:tcPr>
            <w:tcW w:w="3917" w:type="dxa"/>
          </w:tcPr>
          <w:p w14:paraId="33552E2A" w14:textId="77777777" w:rsidR="003E0D85" w:rsidRPr="006F6D44" w:rsidRDefault="003E0D85">
            <w:pPr>
              <w:rPr>
                <w:rFonts w:ascii="Poppins" w:hAnsi="Poppins" w:cs="Poppins"/>
              </w:rPr>
            </w:pPr>
          </w:p>
        </w:tc>
      </w:tr>
      <w:tr w:rsidR="003E0D85" w:rsidRPr="006F6D44" w14:paraId="3D7E8EB2" w14:textId="6379F014" w:rsidTr="003E0D85">
        <w:tc>
          <w:tcPr>
            <w:tcW w:w="5433" w:type="dxa"/>
          </w:tcPr>
          <w:p w14:paraId="797FF8F4" w14:textId="43B9B7EE" w:rsidR="003E0D85" w:rsidRPr="006F6D44" w:rsidRDefault="003E0D85" w:rsidP="00116AB5">
            <w:pPr>
              <w:rPr>
                <w:rFonts w:ascii="Poppins" w:hAnsi="Poppins" w:cs="Poppins"/>
              </w:rPr>
            </w:pPr>
            <w:r w:rsidRPr="006F6D44">
              <w:rPr>
                <w:rFonts w:ascii="Poppins" w:hAnsi="Poppins" w:cs="Poppins"/>
              </w:rPr>
              <w:t>8.3.11 To require the holder of any consent for a dam constructed for the purposes of storage of contaminants to completely remedy any adverse effect of the failure or overtopping of the dam structure, either during or after its construction.</w:t>
            </w:r>
          </w:p>
        </w:tc>
        <w:tc>
          <w:tcPr>
            <w:tcW w:w="3917" w:type="dxa"/>
          </w:tcPr>
          <w:p w14:paraId="57FC10BF" w14:textId="77777777" w:rsidR="003E0D85" w:rsidRPr="006F6D44" w:rsidRDefault="003E0D85">
            <w:pPr>
              <w:rPr>
                <w:rFonts w:ascii="Poppins" w:hAnsi="Poppins" w:cs="Poppins"/>
              </w:rPr>
            </w:pPr>
          </w:p>
        </w:tc>
      </w:tr>
      <w:tr w:rsidR="003E0D85" w:rsidRPr="006F6D44" w14:paraId="6F065C74" w14:textId="0ADF75E3" w:rsidTr="003E0D85">
        <w:tc>
          <w:tcPr>
            <w:tcW w:w="5433" w:type="dxa"/>
          </w:tcPr>
          <w:p w14:paraId="06CC8491" w14:textId="0FB4AE57" w:rsidR="003E0D85" w:rsidRPr="006F6D44" w:rsidRDefault="003E0D85" w:rsidP="00116AB5">
            <w:pPr>
              <w:rPr>
                <w:rFonts w:ascii="Poppins" w:hAnsi="Poppins" w:cs="Poppins"/>
              </w:rPr>
            </w:pPr>
            <w:r w:rsidRPr="006F6D44">
              <w:rPr>
                <w:rFonts w:ascii="Poppins" w:hAnsi="Poppins" w:cs="Poppins"/>
              </w:rPr>
              <w:t>8.3A Transitional Policies – National Policy Statement on Freshwater Management</w:t>
            </w:r>
          </w:p>
        </w:tc>
        <w:tc>
          <w:tcPr>
            <w:tcW w:w="3917" w:type="dxa"/>
          </w:tcPr>
          <w:p w14:paraId="39BA4A40" w14:textId="77777777" w:rsidR="003E0D85" w:rsidRPr="006F6D44" w:rsidRDefault="003E0D85">
            <w:pPr>
              <w:rPr>
                <w:rFonts w:ascii="Poppins" w:hAnsi="Poppins" w:cs="Poppins"/>
              </w:rPr>
            </w:pPr>
          </w:p>
        </w:tc>
      </w:tr>
      <w:tr w:rsidR="003E0D85" w:rsidRPr="006F6D44" w14:paraId="3C22F9AD" w14:textId="27CBFF26" w:rsidTr="003E0D85">
        <w:tc>
          <w:tcPr>
            <w:tcW w:w="5433" w:type="dxa"/>
          </w:tcPr>
          <w:p w14:paraId="46E1A355" w14:textId="77777777" w:rsidR="003E0D85" w:rsidRPr="006F6D44" w:rsidRDefault="003E0D85">
            <w:pPr>
              <w:rPr>
                <w:rFonts w:ascii="Poppins" w:hAnsi="Poppins" w:cs="Poppins"/>
              </w:rPr>
            </w:pPr>
            <w:r w:rsidRPr="006F6D44">
              <w:rPr>
                <w:rFonts w:ascii="Poppins" w:hAnsi="Poppins" w:cs="Poppins"/>
              </w:rPr>
              <w:t xml:space="preserve">8.3A.1 When considering any application for a discharge the consent authority must have regard to the following matters: </w:t>
            </w:r>
          </w:p>
          <w:p w14:paraId="3265A7B5" w14:textId="6D46A59D" w:rsidR="003E0D85" w:rsidRPr="006F6D44" w:rsidRDefault="003E0D85" w:rsidP="002C05DF">
            <w:pPr>
              <w:pStyle w:val="ListParagraph"/>
              <w:numPr>
                <w:ilvl w:val="0"/>
                <w:numId w:val="11"/>
              </w:numPr>
              <w:rPr>
                <w:rFonts w:ascii="Poppins" w:hAnsi="Poppins" w:cs="Poppins"/>
              </w:rPr>
            </w:pPr>
            <w:r w:rsidRPr="006F6D44">
              <w:rPr>
                <w:rFonts w:ascii="Poppins" w:hAnsi="Poppins" w:cs="Poppins"/>
              </w:rPr>
              <w:t xml:space="preserve">The extent to which the discharge would avoid contamination that will have an adverse effect on the life-supporting capacity of fresh water including on any ecosystem associated with fresh water; and </w:t>
            </w:r>
          </w:p>
          <w:p w14:paraId="6A0E280A" w14:textId="3A7A212E" w:rsidR="003E0D85" w:rsidRPr="006F6D44" w:rsidRDefault="003E0D85" w:rsidP="00116AB5">
            <w:pPr>
              <w:pStyle w:val="ListParagraph"/>
              <w:numPr>
                <w:ilvl w:val="0"/>
                <w:numId w:val="11"/>
              </w:numPr>
              <w:rPr>
                <w:rFonts w:ascii="Poppins" w:hAnsi="Poppins" w:cs="Poppins"/>
              </w:rPr>
            </w:pPr>
            <w:r w:rsidRPr="006F6D44">
              <w:rPr>
                <w:rFonts w:ascii="Poppins" w:hAnsi="Poppins" w:cs="Poppins"/>
              </w:rPr>
              <w:t>(b)  The extent to which it is feasible and dependable that any more than minor adverse effect on fresh water, and on any ecosystem associated with fresh water, resulting from the discharge would be avoided.</w:t>
            </w:r>
          </w:p>
        </w:tc>
        <w:tc>
          <w:tcPr>
            <w:tcW w:w="3917" w:type="dxa"/>
          </w:tcPr>
          <w:p w14:paraId="580818B0" w14:textId="77777777" w:rsidR="003E0D85" w:rsidRPr="006F6D44" w:rsidRDefault="003E0D85">
            <w:pPr>
              <w:rPr>
                <w:rFonts w:ascii="Poppins" w:hAnsi="Poppins" w:cs="Poppins"/>
              </w:rPr>
            </w:pPr>
          </w:p>
        </w:tc>
      </w:tr>
      <w:tr w:rsidR="003E0D85" w:rsidRPr="006F6D44" w14:paraId="474F0A68" w14:textId="5A6E4169" w:rsidTr="003E0D85">
        <w:tc>
          <w:tcPr>
            <w:tcW w:w="5433" w:type="dxa"/>
          </w:tcPr>
          <w:p w14:paraId="28A9B57B" w14:textId="77777777" w:rsidR="003E0D85" w:rsidRPr="006F6D44" w:rsidRDefault="003E0D85">
            <w:pPr>
              <w:rPr>
                <w:rFonts w:ascii="Poppins" w:hAnsi="Poppins" w:cs="Poppins"/>
              </w:rPr>
            </w:pPr>
            <w:r w:rsidRPr="006F6D44">
              <w:rPr>
                <w:rFonts w:ascii="Poppins" w:hAnsi="Poppins" w:cs="Poppins"/>
              </w:rPr>
              <w:lastRenderedPageBreak/>
              <w:t xml:space="preserve">8.3A.2 Policy 8.3A.1 applies to the following discharges (including a diffuse discharge by any person or animal): </w:t>
            </w:r>
          </w:p>
          <w:p w14:paraId="4D2C6A08" w14:textId="5ADEC0A3" w:rsidR="003E0D85" w:rsidRPr="006F6D44" w:rsidRDefault="003E0D85" w:rsidP="003E0D85">
            <w:pPr>
              <w:pStyle w:val="ListParagraph"/>
              <w:numPr>
                <w:ilvl w:val="0"/>
                <w:numId w:val="14"/>
              </w:numPr>
              <w:rPr>
                <w:rFonts w:ascii="Poppins" w:hAnsi="Poppins" w:cs="Poppins"/>
              </w:rPr>
            </w:pPr>
            <w:r w:rsidRPr="006F6D44">
              <w:rPr>
                <w:rFonts w:ascii="Poppins" w:hAnsi="Poppins" w:cs="Poppins"/>
              </w:rPr>
              <w:t xml:space="preserve">a new discharge; or </w:t>
            </w:r>
          </w:p>
          <w:p w14:paraId="0A4D01E9" w14:textId="4B7519AC" w:rsidR="003E0D85" w:rsidRPr="006F6D44" w:rsidRDefault="003E0D85" w:rsidP="00116AB5">
            <w:pPr>
              <w:pStyle w:val="ListParagraph"/>
              <w:numPr>
                <w:ilvl w:val="0"/>
                <w:numId w:val="14"/>
              </w:numPr>
              <w:rPr>
                <w:rFonts w:ascii="Poppins" w:hAnsi="Poppins" w:cs="Poppins"/>
              </w:rPr>
            </w:pPr>
            <w:r w:rsidRPr="006F6D44">
              <w:rPr>
                <w:rFonts w:ascii="Poppins" w:hAnsi="Poppins" w:cs="Poppins"/>
              </w:rPr>
              <w:t xml:space="preserve">a change or increase in any discharge </w:t>
            </w:r>
            <w:proofErr w:type="gramStart"/>
            <w:r w:rsidRPr="006F6D44">
              <w:rPr>
                <w:rFonts w:ascii="Poppins" w:hAnsi="Poppins" w:cs="Poppins"/>
              </w:rPr>
              <w:t>–  of</w:t>
            </w:r>
            <w:proofErr w:type="gramEnd"/>
            <w:r w:rsidRPr="006F6D44">
              <w:rPr>
                <w:rFonts w:ascii="Poppins" w:hAnsi="Poppins" w:cs="Poppins"/>
              </w:rPr>
              <w:t xml:space="preserve"> any contaminant into fresh water, or onto or into land in circumstances that may result in that contaminant (or, as a result of any natural process from the discharge of that contaminant, any other contaminant) entering fresh water.</w:t>
            </w:r>
          </w:p>
        </w:tc>
        <w:tc>
          <w:tcPr>
            <w:tcW w:w="3917" w:type="dxa"/>
          </w:tcPr>
          <w:p w14:paraId="52D0474A" w14:textId="77777777" w:rsidR="003E0D85" w:rsidRPr="006F6D44" w:rsidRDefault="003E0D85">
            <w:pPr>
              <w:rPr>
                <w:rFonts w:ascii="Poppins" w:hAnsi="Poppins" w:cs="Poppins"/>
              </w:rPr>
            </w:pPr>
          </w:p>
        </w:tc>
      </w:tr>
      <w:tr w:rsidR="003E0D85" w:rsidRPr="006F6D44" w14:paraId="7E454491" w14:textId="6F900178" w:rsidTr="003E0D85">
        <w:tc>
          <w:tcPr>
            <w:tcW w:w="5433" w:type="dxa"/>
          </w:tcPr>
          <w:p w14:paraId="797AFCE8" w14:textId="7D9B86E9" w:rsidR="003E0D85" w:rsidRPr="006F6D44" w:rsidRDefault="003E0D85" w:rsidP="00116AB5">
            <w:pPr>
              <w:rPr>
                <w:rFonts w:ascii="Poppins" w:hAnsi="Poppins" w:cs="Poppins"/>
              </w:rPr>
            </w:pPr>
            <w:r w:rsidRPr="006F6D44">
              <w:rPr>
                <w:rFonts w:ascii="Poppins" w:hAnsi="Poppins" w:cs="Poppins"/>
              </w:rPr>
              <w:t>8.3A.3 Policy 8.3A.1 does not apply to any application for consent first lodged before the National Policy Statement for Freshwater Management took effect on 1 July 2011.</w:t>
            </w:r>
          </w:p>
        </w:tc>
        <w:tc>
          <w:tcPr>
            <w:tcW w:w="3917" w:type="dxa"/>
          </w:tcPr>
          <w:p w14:paraId="02954F6F" w14:textId="77777777" w:rsidR="003E0D85" w:rsidRPr="006F6D44" w:rsidRDefault="003E0D85">
            <w:pPr>
              <w:rPr>
                <w:rFonts w:ascii="Poppins" w:hAnsi="Poppins" w:cs="Poppins"/>
              </w:rPr>
            </w:pPr>
          </w:p>
        </w:tc>
      </w:tr>
      <w:tr w:rsidR="00116AB5" w:rsidRPr="006F6D44" w14:paraId="3E57B481" w14:textId="10E51907" w:rsidTr="000066EA">
        <w:tc>
          <w:tcPr>
            <w:tcW w:w="9350" w:type="dxa"/>
            <w:gridSpan w:val="2"/>
          </w:tcPr>
          <w:p w14:paraId="62FD84A4" w14:textId="77777777" w:rsidR="00116AB5" w:rsidRPr="006F6D44" w:rsidRDefault="00116AB5" w:rsidP="005A07C2">
            <w:pPr>
              <w:jc w:val="center"/>
              <w:rPr>
                <w:rFonts w:ascii="Poppins" w:hAnsi="Poppins" w:cs="Poppins"/>
                <w:b/>
                <w:bCs/>
              </w:rPr>
            </w:pPr>
            <w:r w:rsidRPr="006F6D44">
              <w:rPr>
                <w:rFonts w:ascii="Poppins" w:hAnsi="Poppins" w:cs="Poppins"/>
                <w:b/>
                <w:bCs/>
              </w:rPr>
              <w:t>CHAPTER 9. SPECIAL MANAGEMENT AREA: LAKE BRUNNER/KOTUKU-WHAKAOHO CATCHMENT</w:t>
            </w:r>
          </w:p>
          <w:p w14:paraId="3FFDD0D3" w14:textId="77777777" w:rsidR="00116AB5" w:rsidRPr="006F6D44" w:rsidRDefault="00116AB5" w:rsidP="005A07C2">
            <w:pPr>
              <w:jc w:val="center"/>
              <w:rPr>
                <w:rFonts w:ascii="Poppins" w:hAnsi="Poppins" w:cs="Poppins"/>
                <w:b/>
                <w:bCs/>
              </w:rPr>
            </w:pPr>
          </w:p>
        </w:tc>
      </w:tr>
      <w:tr w:rsidR="003E0D85" w:rsidRPr="006F6D44" w14:paraId="02D23BD0" w14:textId="7AFBC157" w:rsidTr="003E0D85">
        <w:tc>
          <w:tcPr>
            <w:tcW w:w="5433" w:type="dxa"/>
          </w:tcPr>
          <w:p w14:paraId="182C9EBB" w14:textId="7605BF24" w:rsidR="003E0D85" w:rsidRPr="006F6D44" w:rsidRDefault="003E0D85" w:rsidP="00116AB5">
            <w:pPr>
              <w:jc w:val="center"/>
              <w:rPr>
                <w:rFonts w:ascii="Poppins" w:hAnsi="Poppins" w:cs="Poppins"/>
                <w:b/>
                <w:bCs/>
              </w:rPr>
            </w:pPr>
            <w:r w:rsidRPr="006F6D44">
              <w:rPr>
                <w:rFonts w:ascii="Poppins" w:hAnsi="Poppins" w:cs="Poppins"/>
                <w:b/>
                <w:bCs/>
              </w:rPr>
              <w:t>OBJECTIVES</w:t>
            </w:r>
          </w:p>
        </w:tc>
        <w:tc>
          <w:tcPr>
            <w:tcW w:w="3917" w:type="dxa"/>
          </w:tcPr>
          <w:p w14:paraId="27351E1E" w14:textId="77777777" w:rsidR="003E0D85" w:rsidRPr="006F6D44" w:rsidRDefault="003E0D85" w:rsidP="005A07C2">
            <w:pPr>
              <w:jc w:val="center"/>
              <w:rPr>
                <w:rFonts w:ascii="Poppins" w:hAnsi="Poppins" w:cs="Poppins"/>
                <w:b/>
                <w:bCs/>
              </w:rPr>
            </w:pPr>
          </w:p>
        </w:tc>
      </w:tr>
      <w:tr w:rsidR="003E0D85" w:rsidRPr="006F6D44" w14:paraId="6B8E9ACD" w14:textId="40D7C803" w:rsidTr="003E0D85">
        <w:tc>
          <w:tcPr>
            <w:tcW w:w="5433" w:type="dxa"/>
          </w:tcPr>
          <w:p w14:paraId="462A9B24" w14:textId="6F22E2DC" w:rsidR="003E0D85" w:rsidRPr="006F6D44" w:rsidRDefault="003E0D85" w:rsidP="00116AB5">
            <w:pPr>
              <w:rPr>
                <w:rFonts w:ascii="Poppins" w:hAnsi="Poppins" w:cs="Poppins"/>
              </w:rPr>
            </w:pPr>
            <w:r w:rsidRPr="006F6D44">
              <w:rPr>
                <w:rFonts w:ascii="Poppins" w:hAnsi="Poppins" w:cs="Poppins"/>
              </w:rPr>
              <w:t>9.2.1 To improve the water quality of Lake Brunner by managing the adverse effects of activities in the catchment to reach an average trophic level index of 2.8 by 2020, and then maintain or enhance this trophic level index.</w:t>
            </w:r>
          </w:p>
        </w:tc>
        <w:tc>
          <w:tcPr>
            <w:tcW w:w="3917" w:type="dxa"/>
          </w:tcPr>
          <w:p w14:paraId="31210018" w14:textId="77777777" w:rsidR="003E0D85" w:rsidRPr="006F6D44" w:rsidRDefault="003E0D85">
            <w:pPr>
              <w:rPr>
                <w:rFonts w:ascii="Poppins" w:hAnsi="Poppins" w:cs="Poppins"/>
              </w:rPr>
            </w:pPr>
          </w:p>
        </w:tc>
      </w:tr>
      <w:tr w:rsidR="003E0D85" w:rsidRPr="006F6D44" w14:paraId="63E5202B" w14:textId="7EC0A275" w:rsidTr="003E0D85">
        <w:tc>
          <w:tcPr>
            <w:tcW w:w="5433" w:type="dxa"/>
          </w:tcPr>
          <w:p w14:paraId="78C976F2" w14:textId="79B309C2" w:rsidR="003E0D85" w:rsidRPr="006F6D44" w:rsidRDefault="003E0D85" w:rsidP="00116AB5">
            <w:pPr>
              <w:rPr>
                <w:rFonts w:ascii="Poppins" w:hAnsi="Poppins" w:cs="Poppins"/>
              </w:rPr>
            </w:pPr>
            <w:r w:rsidRPr="006F6D44">
              <w:rPr>
                <w:rFonts w:ascii="Poppins" w:hAnsi="Poppins" w:cs="Poppins"/>
              </w:rPr>
              <w:t>9.2.2 To avoid, remedy, or mitigate adverse effects on aquatic ecosystems, cultural values, and contact recreation in the Lake Brunner/</w:t>
            </w:r>
            <w:proofErr w:type="spellStart"/>
            <w:r w:rsidRPr="006F6D44">
              <w:rPr>
                <w:rFonts w:ascii="Poppins" w:hAnsi="Poppins" w:cs="Poppins"/>
              </w:rPr>
              <w:t>Kötuku-Whakaoho</w:t>
            </w:r>
            <w:proofErr w:type="spellEnd"/>
            <w:r w:rsidRPr="006F6D44">
              <w:rPr>
                <w:rFonts w:ascii="Poppins" w:hAnsi="Poppins" w:cs="Poppins"/>
              </w:rPr>
              <w:t xml:space="preserve"> catchment.  </w:t>
            </w:r>
          </w:p>
        </w:tc>
        <w:tc>
          <w:tcPr>
            <w:tcW w:w="3917" w:type="dxa"/>
          </w:tcPr>
          <w:p w14:paraId="3F2560FC" w14:textId="77777777" w:rsidR="003E0D85" w:rsidRPr="006F6D44" w:rsidRDefault="003E0D85">
            <w:pPr>
              <w:rPr>
                <w:rFonts w:ascii="Poppins" w:hAnsi="Poppins" w:cs="Poppins"/>
              </w:rPr>
            </w:pPr>
          </w:p>
        </w:tc>
      </w:tr>
      <w:tr w:rsidR="003E0D85" w:rsidRPr="006F6D44" w14:paraId="22A46F90" w14:textId="52595C79" w:rsidTr="003E0D85">
        <w:tc>
          <w:tcPr>
            <w:tcW w:w="5433" w:type="dxa"/>
          </w:tcPr>
          <w:p w14:paraId="6FAB889A" w14:textId="6F10C5BA" w:rsidR="003E0D85" w:rsidRPr="006F6D44" w:rsidRDefault="003E0D85" w:rsidP="00116AB5">
            <w:pPr>
              <w:jc w:val="center"/>
              <w:rPr>
                <w:rFonts w:ascii="Poppins" w:hAnsi="Poppins" w:cs="Poppins"/>
                <w:b/>
                <w:bCs/>
              </w:rPr>
            </w:pPr>
            <w:r w:rsidRPr="006F6D44">
              <w:rPr>
                <w:rFonts w:ascii="Poppins" w:hAnsi="Poppins" w:cs="Poppins"/>
                <w:b/>
                <w:bCs/>
              </w:rPr>
              <w:t>POLICIES</w:t>
            </w:r>
          </w:p>
        </w:tc>
        <w:tc>
          <w:tcPr>
            <w:tcW w:w="3917" w:type="dxa"/>
          </w:tcPr>
          <w:p w14:paraId="493D5DFB" w14:textId="77777777" w:rsidR="003E0D85" w:rsidRPr="006F6D44" w:rsidRDefault="003E0D85" w:rsidP="005A07C2">
            <w:pPr>
              <w:jc w:val="center"/>
              <w:rPr>
                <w:rFonts w:ascii="Poppins" w:hAnsi="Poppins" w:cs="Poppins"/>
                <w:b/>
                <w:bCs/>
              </w:rPr>
            </w:pPr>
          </w:p>
        </w:tc>
      </w:tr>
      <w:tr w:rsidR="003E0D85" w:rsidRPr="006F6D44" w14:paraId="179D3062" w14:textId="2A8E9806" w:rsidTr="003E0D85">
        <w:tc>
          <w:tcPr>
            <w:tcW w:w="5433" w:type="dxa"/>
          </w:tcPr>
          <w:p w14:paraId="5CF3FF7C" w14:textId="731D61EC" w:rsidR="003E0D85" w:rsidRPr="006F6D44" w:rsidRDefault="003E0D85" w:rsidP="00116AB5">
            <w:pPr>
              <w:rPr>
                <w:rFonts w:ascii="Poppins" w:hAnsi="Poppins" w:cs="Poppins"/>
              </w:rPr>
            </w:pPr>
            <w:r w:rsidRPr="006F6D44">
              <w:rPr>
                <w:rFonts w:ascii="Poppins" w:hAnsi="Poppins" w:cs="Poppins"/>
              </w:rPr>
              <w:t xml:space="preserve">9.3.1 The Council will manage Schedule 9 swimming areas in the Lake Brunner catchment for contact recreation purposes (Class CR) and all other surface water in the catchment for aquatic ecosystem purposes (Class AE).  </w:t>
            </w:r>
          </w:p>
        </w:tc>
        <w:tc>
          <w:tcPr>
            <w:tcW w:w="3917" w:type="dxa"/>
          </w:tcPr>
          <w:p w14:paraId="3B6AEAE8" w14:textId="77777777" w:rsidR="003E0D85" w:rsidRPr="006F6D44" w:rsidRDefault="003E0D85">
            <w:pPr>
              <w:rPr>
                <w:rFonts w:ascii="Poppins" w:hAnsi="Poppins" w:cs="Poppins"/>
              </w:rPr>
            </w:pPr>
          </w:p>
        </w:tc>
      </w:tr>
      <w:tr w:rsidR="003E0D85" w:rsidRPr="006F6D44" w14:paraId="4DE9894C" w14:textId="77FC2836" w:rsidTr="003E0D85">
        <w:tc>
          <w:tcPr>
            <w:tcW w:w="5433" w:type="dxa"/>
          </w:tcPr>
          <w:p w14:paraId="3FFC522E" w14:textId="7853ABF4" w:rsidR="003E0D85" w:rsidRPr="006F6D44" w:rsidRDefault="003E0D85" w:rsidP="00116AB5">
            <w:pPr>
              <w:rPr>
                <w:rFonts w:ascii="Poppins" w:hAnsi="Poppins" w:cs="Poppins"/>
              </w:rPr>
            </w:pPr>
            <w:r w:rsidRPr="006F6D44">
              <w:rPr>
                <w:rFonts w:ascii="Poppins" w:hAnsi="Poppins" w:cs="Poppins"/>
              </w:rPr>
              <w:t xml:space="preserve">9.3.2 To have regard to the cumulative effects of discharges of contaminants and the </w:t>
            </w:r>
            <w:r w:rsidRPr="006F6D44">
              <w:rPr>
                <w:rFonts w:ascii="Poppins" w:hAnsi="Poppins" w:cs="Poppins"/>
              </w:rPr>
              <w:lastRenderedPageBreak/>
              <w:t xml:space="preserve">assimilative capacity of Lake Brunner/Kotuku-Whakaoho.  </w:t>
            </w:r>
          </w:p>
        </w:tc>
        <w:tc>
          <w:tcPr>
            <w:tcW w:w="3917" w:type="dxa"/>
          </w:tcPr>
          <w:p w14:paraId="1F9F9435" w14:textId="77777777" w:rsidR="003E0D85" w:rsidRPr="006F6D44" w:rsidRDefault="003E0D85">
            <w:pPr>
              <w:rPr>
                <w:rFonts w:ascii="Poppins" w:hAnsi="Poppins" w:cs="Poppins"/>
              </w:rPr>
            </w:pPr>
          </w:p>
        </w:tc>
      </w:tr>
      <w:tr w:rsidR="003E0D85" w:rsidRPr="006F6D44" w14:paraId="69CF297F" w14:textId="3C08DB46" w:rsidTr="003E0D85">
        <w:tc>
          <w:tcPr>
            <w:tcW w:w="5433" w:type="dxa"/>
          </w:tcPr>
          <w:p w14:paraId="39616E3F" w14:textId="23ABB436" w:rsidR="003E0D85" w:rsidRPr="006F6D44" w:rsidRDefault="003E0D85" w:rsidP="00116AB5">
            <w:pPr>
              <w:rPr>
                <w:rFonts w:ascii="Poppins" w:hAnsi="Poppins" w:cs="Poppins"/>
              </w:rPr>
            </w:pPr>
            <w:r w:rsidRPr="006F6D44">
              <w:rPr>
                <w:rFonts w:ascii="Poppins" w:hAnsi="Poppins" w:cs="Poppins"/>
              </w:rPr>
              <w:t>9.3.3 To reduce the loss of phosphorus to water in the Lake Brunner catchment.</w:t>
            </w:r>
          </w:p>
        </w:tc>
        <w:tc>
          <w:tcPr>
            <w:tcW w:w="3917" w:type="dxa"/>
          </w:tcPr>
          <w:p w14:paraId="3AD0E0F3" w14:textId="77777777" w:rsidR="003E0D85" w:rsidRPr="006F6D44" w:rsidRDefault="003E0D85">
            <w:pPr>
              <w:rPr>
                <w:rFonts w:ascii="Poppins" w:hAnsi="Poppins" w:cs="Poppins"/>
              </w:rPr>
            </w:pPr>
          </w:p>
        </w:tc>
      </w:tr>
      <w:tr w:rsidR="003E0D85" w:rsidRPr="006F6D44" w14:paraId="4D55E5DA" w14:textId="4CDC64B3" w:rsidTr="003E0D85">
        <w:tc>
          <w:tcPr>
            <w:tcW w:w="5433" w:type="dxa"/>
          </w:tcPr>
          <w:p w14:paraId="0E0E155A" w14:textId="5DD6AC11" w:rsidR="003E0D85" w:rsidRPr="006F6D44" w:rsidRDefault="003E0D85" w:rsidP="00116AB5">
            <w:pPr>
              <w:rPr>
                <w:rFonts w:ascii="Poppins" w:hAnsi="Poppins" w:cs="Poppins"/>
              </w:rPr>
            </w:pPr>
            <w:r w:rsidRPr="006F6D44">
              <w:rPr>
                <w:rFonts w:ascii="Poppins" w:hAnsi="Poppins" w:cs="Poppins"/>
              </w:rPr>
              <w:t xml:space="preserve">9.3.4 To require discharges of dairy effluent in the Lake Brunner catchment to be to land, rather than directly to water.  </w:t>
            </w:r>
          </w:p>
        </w:tc>
        <w:tc>
          <w:tcPr>
            <w:tcW w:w="3917" w:type="dxa"/>
          </w:tcPr>
          <w:p w14:paraId="3E101493" w14:textId="77777777" w:rsidR="003E0D85" w:rsidRPr="006F6D44" w:rsidRDefault="003E0D85">
            <w:pPr>
              <w:rPr>
                <w:rFonts w:ascii="Poppins" w:hAnsi="Poppins" w:cs="Poppins"/>
              </w:rPr>
            </w:pPr>
          </w:p>
        </w:tc>
      </w:tr>
      <w:tr w:rsidR="003E0D85" w:rsidRPr="006F6D44" w14:paraId="17E63741" w14:textId="0F8B1544" w:rsidTr="003E0D85">
        <w:tc>
          <w:tcPr>
            <w:tcW w:w="5433" w:type="dxa"/>
          </w:tcPr>
          <w:p w14:paraId="12DF344D" w14:textId="3E9D33B0" w:rsidR="003E0D85" w:rsidRPr="006F6D44" w:rsidRDefault="003E0D85" w:rsidP="00116AB5">
            <w:pPr>
              <w:tabs>
                <w:tab w:val="left" w:pos="3149"/>
              </w:tabs>
              <w:rPr>
                <w:rFonts w:ascii="Poppins" w:hAnsi="Poppins" w:cs="Poppins"/>
              </w:rPr>
            </w:pPr>
            <w:proofErr w:type="gramStart"/>
            <w:r w:rsidRPr="006F6D44">
              <w:rPr>
                <w:rFonts w:ascii="Poppins" w:hAnsi="Poppins" w:cs="Poppins"/>
              </w:rPr>
              <w:t>9.3.5  To</w:t>
            </w:r>
            <w:proofErr w:type="gramEnd"/>
            <w:r w:rsidRPr="006F6D44">
              <w:rPr>
                <w:rFonts w:ascii="Poppins" w:hAnsi="Poppins" w:cs="Poppins"/>
              </w:rPr>
              <w:t xml:space="preserve"> prevent stock access to waterways.</w:t>
            </w:r>
          </w:p>
        </w:tc>
        <w:tc>
          <w:tcPr>
            <w:tcW w:w="3917" w:type="dxa"/>
          </w:tcPr>
          <w:p w14:paraId="65BB97FC" w14:textId="77777777" w:rsidR="003E0D85" w:rsidRPr="006F6D44" w:rsidRDefault="003E0D85" w:rsidP="005A07C2">
            <w:pPr>
              <w:tabs>
                <w:tab w:val="left" w:pos="3149"/>
              </w:tabs>
              <w:rPr>
                <w:rFonts w:ascii="Poppins" w:hAnsi="Poppins" w:cs="Poppins"/>
              </w:rPr>
            </w:pPr>
          </w:p>
        </w:tc>
      </w:tr>
      <w:tr w:rsidR="003E0D85" w:rsidRPr="006F6D44" w14:paraId="424392F3" w14:textId="7B9F6864" w:rsidTr="003E0D85">
        <w:tc>
          <w:tcPr>
            <w:tcW w:w="5433" w:type="dxa"/>
          </w:tcPr>
          <w:p w14:paraId="2513A1FB" w14:textId="77777777" w:rsidR="003E0D85" w:rsidRPr="006F6D44" w:rsidRDefault="003E0D85" w:rsidP="005A07C2">
            <w:pPr>
              <w:tabs>
                <w:tab w:val="left" w:pos="3149"/>
              </w:tabs>
              <w:rPr>
                <w:rFonts w:ascii="Poppins" w:hAnsi="Poppins" w:cs="Poppins"/>
              </w:rPr>
            </w:pPr>
            <w:r w:rsidRPr="006F6D44">
              <w:rPr>
                <w:rFonts w:ascii="Poppins" w:hAnsi="Poppins" w:cs="Poppins"/>
              </w:rPr>
              <w:t>9.3.6 To reduce the loss of phosphorus to Lake Brunner associated with the development of land, by managing phosphate fertiliser use in the catchment so that no net increases in annual loss occurs per property.</w:t>
            </w:r>
          </w:p>
          <w:p w14:paraId="2983D9B4" w14:textId="165B67C6" w:rsidR="003E0D85" w:rsidRPr="006F6D44" w:rsidRDefault="003E0D85" w:rsidP="00116AB5">
            <w:pPr>
              <w:tabs>
                <w:tab w:val="left" w:pos="3149"/>
              </w:tabs>
              <w:rPr>
                <w:rFonts w:ascii="Poppins" w:hAnsi="Poppins" w:cs="Poppins"/>
              </w:rPr>
            </w:pPr>
            <w:proofErr w:type="gramStart"/>
            <w:r w:rsidRPr="006F6D44">
              <w:rPr>
                <w:rFonts w:ascii="Poppins" w:hAnsi="Poppins" w:cs="Poppins"/>
              </w:rPr>
              <w:t>9.3.7  To</w:t>
            </w:r>
            <w:proofErr w:type="gramEnd"/>
            <w:r w:rsidRPr="006F6D44">
              <w:rPr>
                <w:rFonts w:ascii="Poppins" w:hAnsi="Poppins" w:cs="Poppins"/>
              </w:rPr>
              <w:t xml:space="preserve"> encourage methods of wintering of stock that will reduce the risk of phosphorus loss in the Lake Brunner catchment, including the management of effluent that results from wintering methods. </w:t>
            </w:r>
          </w:p>
        </w:tc>
        <w:tc>
          <w:tcPr>
            <w:tcW w:w="3917" w:type="dxa"/>
          </w:tcPr>
          <w:p w14:paraId="2D74B4DF" w14:textId="77777777" w:rsidR="003E0D85" w:rsidRPr="006F6D44" w:rsidRDefault="003E0D85" w:rsidP="005A07C2">
            <w:pPr>
              <w:tabs>
                <w:tab w:val="left" w:pos="3149"/>
              </w:tabs>
              <w:rPr>
                <w:rFonts w:ascii="Poppins" w:hAnsi="Poppins" w:cs="Poppins"/>
              </w:rPr>
            </w:pPr>
          </w:p>
        </w:tc>
      </w:tr>
    </w:tbl>
    <w:p w14:paraId="0C024DA6" w14:textId="77777777" w:rsidR="00510501" w:rsidRPr="006F6D44" w:rsidRDefault="00510501">
      <w:pPr>
        <w:rPr>
          <w:rFonts w:ascii="Poppins" w:hAnsi="Poppins" w:cs="Poppins"/>
        </w:rPr>
      </w:pPr>
    </w:p>
    <w:sectPr w:rsidR="00510501" w:rsidRPr="006F6D44" w:rsidSect="00CC77A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F4123" w14:textId="77777777" w:rsidR="004816FE" w:rsidRDefault="004816FE" w:rsidP="001D70EA">
      <w:pPr>
        <w:spacing w:after="0" w:line="240" w:lineRule="auto"/>
      </w:pPr>
      <w:r>
        <w:separator/>
      </w:r>
    </w:p>
  </w:endnote>
  <w:endnote w:type="continuationSeparator" w:id="0">
    <w:p w14:paraId="61720192" w14:textId="77777777" w:rsidR="004816FE" w:rsidRDefault="004816FE" w:rsidP="001D7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19211" w14:textId="77777777" w:rsidR="004816FE" w:rsidRDefault="004816FE" w:rsidP="001D70EA">
      <w:pPr>
        <w:spacing w:after="0" w:line="240" w:lineRule="auto"/>
      </w:pPr>
      <w:r>
        <w:separator/>
      </w:r>
    </w:p>
  </w:footnote>
  <w:footnote w:type="continuationSeparator" w:id="0">
    <w:p w14:paraId="1A69A1DA" w14:textId="77777777" w:rsidR="004816FE" w:rsidRDefault="004816FE" w:rsidP="001D7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41F1" w14:textId="77777777" w:rsidR="007117A5" w:rsidRDefault="007117A5" w:rsidP="007117A5">
    <w:pPr>
      <w:pStyle w:val="Header"/>
    </w:pPr>
    <w:r w:rsidRPr="004A78A4">
      <w:rPr>
        <w:rFonts w:ascii="Arial" w:eastAsia="Arial" w:hAnsi="Arial" w:cs="Arial"/>
        <w:noProof/>
        <w:sz w:val="24"/>
      </w:rPr>
      <mc:AlternateContent>
        <mc:Choice Requires="wps">
          <w:drawing>
            <wp:anchor distT="0" distB="0" distL="114300" distR="114300" simplePos="0" relativeHeight="251659264" behindDoc="0" locked="0" layoutInCell="1" allowOverlap="1" wp14:anchorId="23F200FD" wp14:editId="161CA7F4">
              <wp:simplePos x="0" y="0"/>
              <wp:positionH relativeFrom="column">
                <wp:posOffset>-695325</wp:posOffset>
              </wp:positionH>
              <wp:positionV relativeFrom="paragraph">
                <wp:posOffset>-266700</wp:posOffset>
              </wp:positionV>
              <wp:extent cx="3800475" cy="560705"/>
              <wp:effectExtent l="0" t="0" r="0" b="0"/>
              <wp:wrapNone/>
              <wp:docPr id="78" name="Rectangle 1"/>
              <wp:cNvGraphicFramePr/>
              <a:graphic xmlns:a="http://schemas.openxmlformats.org/drawingml/2006/main">
                <a:graphicData uri="http://schemas.microsoft.com/office/word/2010/wordprocessingShape">
                  <wps:wsp>
                    <wps:cNvSpPr/>
                    <wps:spPr>
                      <a:xfrm>
                        <a:off x="0" y="0"/>
                        <a:ext cx="3800475" cy="560705"/>
                      </a:xfrm>
                      <a:prstGeom prst="rect">
                        <a:avLst/>
                      </a:prstGeom>
                      <a:ln>
                        <a:noFill/>
                      </a:ln>
                    </wps:spPr>
                    <wps:txbx>
                      <w:txbxContent>
                        <w:p w14:paraId="7EEE64BB" w14:textId="77777777" w:rsidR="007117A5" w:rsidRDefault="007117A5" w:rsidP="007117A5">
                          <w:pPr>
                            <w:spacing w:after="0"/>
                            <w:rPr>
                              <w:rFonts w:ascii="Poppins" w:hAnsi="Poppins" w:cs="Poppins"/>
                              <w:color w:val="FFFFFF"/>
                              <w:sz w:val="16"/>
                            </w:rPr>
                          </w:pPr>
                          <w:r w:rsidRPr="00994599">
                            <w:rPr>
                              <w:rFonts w:ascii="Poppins" w:hAnsi="Poppins" w:cs="Poppins"/>
                              <w:color w:val="FFFFFF"/>
                              <w:sz w:val="16"/>
                            </w:rPr>
                            <w:t>R E S O U R C E   C O N S E N T S</w:t>
                          </w:r>
                          <w:r>
                            <w:rPr>
                              <w:rFonts w:ascii="Poppins" w:hAnsi="Poppins" w:cs="Poppins"/>
                              <w:color w:val="FFFFFF"/>
                              <w:sz w:val="16"/>
                            </w:rPr>
                            <w:t xml:space="preserve"> – Policy Assessment form – </w:t>
                          </w:r>
                        </w:p>
                        <w:p w14:paraId="1A9B5A70" w14:textId="1AE8D04F" w:rsidR="007117A5" w:rsidRPr="00994599" w:rsidRDefault="007117A5" w:rsidP="007117A5">
                          <w:pPr>
                            <w:spacing w:after="0"/>
                            <w:rPr>
                              <w:rFonts w:ascii="Poppins" w:hAnsi="Poppins" w:cs="Poppins"/>
                            </w:rPr>
                          </w:pPr>
                          <w:r>
                            <w:rPr>
                              <w:rFonts w:ascii="Poppins" w:hAnsi="Poppins" w:cs="Poppins"/>
                              <w:color w:val="FFFFFF"/>
                              <w:sz w:val="16"/>
                            </w:rPr>
                            <w:t xml:space="preserve">s15 Discharge of contaminants </w:t>
                          </w:r>
                          <w:r>
                            <w:rPr>
                              <w:rFonts w:ascii="Poppins" w:hAnsi="Poppins" w:cs="Poppins"/>
                              <w:color w:val="FFFFFF"/>
                              <w:sz w:val="16"/>
                            </w:rPr>
                            <w:t>to water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23F200FD" id="Rectangle 1" o:spid="_x0000_s1026" style="position:absolute;margin-left:-54.75pt;margin-top:-21pt;width:299.25pt;height:4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" filled="f" stroked="f">
              <v:textbox inset="0,0,0,0">
                <w:txbxContent>
                  <w:p w14:paraId="7EEE64BB" w14:textId="77777777" w:rsidR="007117A5" w:rsidRDefault="007117A5" w:rsidP="007117A5">
                    <w:pPr>
                      <w:spacing w:after="0"/>
                      <w:rPr>
                        <w:rFonts w:ascii="Poppins" w:hAnsi="Poppins" w:cs="Poppins"/>
                        <w:color w:val="FFFFFF"/>
                        <w:sz w:val="16"/>
                      </w:rPr>
                    </w:pPr>
                    <w:r w:rsidRPr="00994599">
                      <w:rPr>
                        <w:rFonts w:ascii="Poppins" w:hAnsi="Poppins" w:cs="Poppins"/>
                        <w:color w:val="FFFFFF"/>
                        <w:sz w:val="16"/>
                      </w:rPr>
                      <w:t>R E S O U R C E   C O N S E N T S</w:t>
                    </w:r>
                    <w:r>
                      <w:rPr>
                        <w:rFonts w:ascii="Poppins" w:hAnsi="Poppins" w:cs="Poppins"/>
                        <w:color w:val="FFFFFF"/>
                        <w:sz w:val="16"/>
                      </w:rPr>
                      <w:t xml:space="preserve"> – Policy Assessment form – </w:t>
                    </w:r>
                  </w:p>
                  <w:p w14:paraId="1A9B5A70" w14:textId="1AE8D04F" w:rsidR="007117A5" w:rsidRPr="00994599" w:rsidRDefault="007117A5" w:rsidP="007117A5">
                    <w:pPr>
                      <w:spacing w:after="0"/>
                      <w:rPr>
                        <w:rFonts w:ascii="Poppins" w:hAnsi="Poppins" w:cs="Poppins"/>
                      </w:rPr>
                    </w:pPr>
                    <w:r>
                      <w:rPr>
                        <w:rFonts w:ascii="Poppins" w:hAnsi="Poppins" w:cs="Poppins"/>
                        <w:color w:val="FFFFFF"/>
                        <w:sz w:val="16"/>
                      </w:rPr>
                      <w:t xml:space="preserve">s15 Discharge of contaminants </w:t>
                    </w:r>
                    <w:r>
                      <w:rPr>
                        <w:rFonts w:ascii="Poppins" w:hAnsi="Poppins" w:cs="Poppins"/>
                        <w:color w:val="FFFFFF"/>
                        <w:sz w:val="16"/>
                      </w:rPr>
                      <w:t>to water</w:t>
                    </w:r>
                  </w:p>
                </w:txbxContent>
              </v:textbox>
            </v:rect>
          </w:pict>
        </mc:Fallback>
      </mc:AlternateContent>
    </w:r>
    <w:r w:rsidRPr="005754D3">
      <w:rPr>
        <w:rFonts w:ascii="Calibri Light" w:hAnsi="Calibri Light" w:cs="Calibri Light"/>
        <w:noProof/>
        <w:sz w:val="28"/>
        <w:szCs w:val="28"/>
      </w:rPr>
      <w:drawing>
        <wp:anchor distT="0" distB="0" distL="114300" distR="114300" simplePos="0" relativeHeight="251660288" behindDoc="1" locked="0" layoutInCell="1" allowOverlap="1" wp14:anchorId="6463FE66" wp14:editId="6B23892F">
          <wp:simplePos x="0" y="0"/>
          <wp:positionH relativeFrom="page">
            <wp:align>left</wp:align>
          </wp:positionH>
          <wp:positionV relativeFrom="paragraph">
            <wp:posOffset>-466725</wp:posOffset>
          </wp:positionV>
          <wp:extent cx="7781925" cy="885190"/>
          <wp:effectExtent l="19050" t="19050" r="28575"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781925"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2085">
      <w:rPr>
        <w:noProof/>
        <w:sz w:val="28"/>
        <w:szCs w:val="28"/>
      </w:rPr>
      <w:drawing>
        <wp:anchor distT="0" distB="0" distL="114300" distR="114300" simplePos="0" relativeHeight="251661312" behindDoc="1" locked="0" layoutInCell="1" allowOverlap="1" wp14:anchorId="4D52D320" wp14:editId="7D7A409F">
          <wp:simplePos x="0" y="0"/>
          <wp:positionH relativeFrom="page">
            <wp:posOffset>5114925</wp:posOffset>
          </wp:positionH>
          <wp:positionV relativeFrom="paragraph">
            <wp:posOffset>-287655</wp:posOffset>
          </wp:positionV>
          <wp:extent cx="2374872"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2" cstate="print">
                    <a:extLst>
                      <a:ext uri="{28A0092B-C50C-407E-A947-70E740481C1C}">
                        <a14:useLocalDpi xmlns:a14="http://schemas.microsoft.com/office/drawing/2010/main" val="0"/>
                      </a:ext>
                    </a:extLst>
                  </a:blip>
                  <a:srcRect l="1244" t="10984" b="-1"/>
                  <a:stretch/>
                </pic:blipFill>
                <pic:spPr bwMode="auto">
                  <a:xfrm>
                    <a:off x="0" y="0"/>
                    <a:ext cx="2374872"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61C2A5" w14:textId="7958102F" w:rsidR="001D70EA" w:rsidRPr="007117A5" w:rsidRDefault="001D70EA" w:rsidP="007117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7E4"/>
    <w:multiLevelType w:val="hybridMultilevel"/>
    <w:tmpl w:val="C8AE734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51E392A"/>
    <w:multiLevelType w:val="hybridMultilevel"/>
    <w:tmpl w:val="B83A191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50D79A5"/>
    <w:multiLevelType w:val="hybridMultilevel"/>
    <w:tmpl w:val="357C413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FD75DBB"/>
    <w:multiLevelType w:val="hybridMultilevel"/>
    <w:tmpl w:val="FBA2345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42A342F"/>
    <w:multiLevelType w:val="hybridMultilevel"/>
    <w:tmpl w:val="E59E866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8CB6510"/>
    <w:multiLevelType w:val="hybridMultilevel"/>
    <w:tmpl w:val="986E1B4C"/>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B107244"/>
    <w:multiLevelType w:val="hybridMultilevel"/>
    <w:tmpl w:val="D19E3DA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5415FC6"/>
    <w:multiLevelType w:val="hybridMultilevel"/>
    <w:tmpl w:val="05F4B862"/>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592530E6"/>
    <w:multiLevelType w:val="hybridMultilevel"/>
    <w:tmpl w:val="9F88A0D6"/>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F4D6703"/>
    <w:multiLevelType w:val="hybridMultilevel"/>
    <w:tmpl w:val="FA34334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7E51219"/>
    <w:multiLevelType w:val="hybridMultilevel"/>
    <w:tmpl w:val="61B8376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C820E1D"/>
    <w:multiLevelType w:val="hybridMultilevel"/>
    <w:tmpl w:val="66A6760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F2D5B3E"/>
    <w:multiLevelType w:val="hybridMultilevel"/>
    <w:tmpl w:val="2A18552C"/>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0DF66E2"/>
    <w:multiLevelType w:val="hybridMultilevel"/>
    <w:tmpl w:val="94446CC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76556E49"/>
    <w:multiLevelType w:val="hybridMultilevel"/>
    <w:tmpl w:val="4A28399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77E14A48"/>
    <w:multiLevelType w:val="hybridMultilevel"/>
    <w:tmpl w:val="C23ACF2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52001921">
    <w:abstractNumId w:val="7"/>
  </w:num>
  <w:num w:numId="2" w16cid:durableId="350303395">
    <w:abstractNumId w:val="2"/>
  </w:num>
  <w:num w:numId="3" w16cid:durableId="458114585">
    <w:abstractNumId w:val="15"/>
  </w:num>
  <w:num w:numId="4" w16cid:durableId="1352418958">
    <w:abstractNumId w:val="4"/>
  </w:num>
  <w:num w:numId="5" w16cid:durableId="1131555394">
    <w:abstractNumId w:val="12"/>
  </w:num>
  <w:num w:numId="6" w16cid:durableId="1799906530">
    <w:abstractNumId w:val="9"/>
  </w:num>
  <w:num w:numId="7" w16cid:durableId="245845983">
    <w:abstractNumId w:val="13"/>
  </w:num>
  <w:num w:numId="8" w16cid:durableId="929391741">
    <w:abstractNumId w:val="1"/>
  </w:num>
  <w:num w:numId="9" w16cid:durableId="410003731">
    <w:abstractNumId w:val="11"/>
  </w:num>
  <w:num w:numId="10" w16cid:durableId="1832330836">
    <w:abstractNumId w:val="10"/>
  </w:num>
  <w:num w:numId="11" w16cid:durableId="2021659493">
    <w:abstractNumId w:val="6"/>
  </w:num>
  <w:num w:numId="12" w16cid:durableId="686905419">
    <w:abstractNumId w:val="3"/>
  </w:num>
  <w:num w:numId="13" w16cid:durableId="2017925534">
    <w:abstractNumId w:val="0"/>
  </w:num>
  <w:num w:numId="14" w16cid:durableId="1354764833">
    <w:abstractNumId w:val="5"/>
  </w:num>
  <w:num w:numId="15" w16cid:durableId="815418455">
    <w:abstractNumId w:val="14"/>
  </w:num>
  <w:num w:numId="16" w16cid:durableId="10018156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5B9"/>
    <w:rsid w:val="000245D2"/>
    <w:rsid w:val="000664E6"/>
    <w:rsid w:val="000675A4"/>
    <w:rsid w:val="00081757"/>
    <w:rsid w:val="000F45B9"/>
    <w:rsid w:val="00116AB5"/>
    <w:rsid w:val="00154D89"/>
    <w:rsid w:val="001A1F28"/>
    <w:rsid w:val="001D70EA"/>
    <w:rsid w:val="002674A5"/>
    <w:rsid w:val="002C05DF"/>
    <w:rsid w:val="003246E6"/>
    <w:rsid w:val="003E0D85"/>
    <w:rsid w:val="004816FE"/>
    <w:rsid w:val="004B0246"/>
    <w:rsid w:val="00510501"/>
    <w:rsid w:val="005A07C2"/>
    <w:rsid w:val="005D05E1"/>
    <w:rsid w:val="005D6366"/>
    <w:rsid w:val="0063089D"/>
    <w:rsid w:val="00636BAF"/>
    <w:rsid w:val="0068037C"/>
    <w:rsid w:val="006F6D44"/>
    <w:rsid w:val="007117A5"/>
    <w:rsid w:val="00745B95"/>
    <w:rsid w:val="00750AB7"/>
    <w:rsid w:val="00752AA7"/>
    <w:rsid w:val="00797CEE"/>
    <w:rsid w:val="008B0574"/>
    <w:rsid w:val="008B216B"/>
    <w:rsid w:val="00923F18"/>
    <w:rsid w:val="009653C2"/>
    <w:rsid w:val="009A7BD8"/>
    <w:rsid w:val="00A10AA0"/>
    <w:rsid w:val="00B04670"/>
    <w:rsid w:val="00B234DF"/>
    <w:rsid w:val="00B40237"/>
    <w:rsid w:val="00B4245A"/>
    <w:rsid w:val="00B4527F"/>
    <w:rsid w:val="00B73ED4"/>
    <w:rsid w:val="00BC12F0"/>
    <w:rsid w:val="00C0114C"/>
    <w:rsid w:val="00C26A37"/>
    <w:rsid w:val="00C3797B"/>
    <w:rsid w:val="00C407D8"/>
    <w:rsid w:val="00C426FA"/>
    <w:rsid w:val="00C42930"/>
    <w:rsid w:val="00CC77A7"/>
    <w:rsid w:val="00D00930"/>
    <w:rsid w:val="00D77E86"/>
    <w:rsid w:val="00DA0252"/>
    <w:rsid w:val="00E36484"/>
    <w:rsid w:val="00E72CEB"/>
    <w:rsid w:val="00E92AF1"/>
    <w:rsid w:val="00EE7C4B"/>
    <w:rsid w:val="00F348B2"/>
    <w:rsid w:val="00FB49DC"/>
    <w:rsid w:val="00FC0F01"/>
    <w:rsid w:val="00FD24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D17E6"/>
  <w15:chartTrackingRefBased/>
  <w15:docId w15:val="{ABD1DC54-A90F-42A1-8476-296FB225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5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5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5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5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5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5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5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5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5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5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5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5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5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5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5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5B9"/>
    <w:rPr>
      <w:rFonts w:eastAsiaTheme="majorEastAsia" w:cstheme="majorBidi"/>
      <w:color w:val="272727" w:themeColor="text1" w:themeTint="D8"/>
    </w:rPr>
  </w:style>
  <w:style w:type="paragraph" w:styleId="Title">
    <w:name w:val="Title"/>
    <w:basedOn w:val="Normal"/>
    <w:next w:val="Normal"/>
    <w:link w:val="TitleChar"/>
    <w:uiPriority w:val="10"/>
    <w:qFormat/>
    <w:rsid w:val="000F4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5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5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5B9"/>
    <w:pPr>
      <w:spacing w:before="160"/>
      <w:jc w:val="center"/>
    </w:pPr>
    <w:rPr>
      <w:i/>
      <w:iCs/>
      <w:color w:val="404040" w:themeColor="text1" w:themeTint="BF"/>
    </w:rPr>
  </w:style>
  <w:style w:type="character" w:customStyle="1" w:styleId="QuoteChar">
    <w:name w:val="Quote Char"/>
    <w:basedOn w:val="DefaultParagraphFont"/>
    <w:link w:val="Quote"/>
    <w:uiPriority w:val="29"/>
    <w:rsid w:val="000F45B9"/>
    <w:rPr>
      <w:i/>
      <w:iCs/>
      <w:color w:val="404040" w:themeColor="text1" w:themeTint="BF"/>
    </w:rPr>
  </w:style>
  <w:style w:type="paragraph" w:styleId="ListParagraph">
    <w:name w:val="List Paragraph"/>
    <w:basedOn w:val="Normal"/>
    <w:uiPriority w:val="34"/>
    <w:qFormat/>
    <w:rsid w:val="000F45B9"/>
    <w:pPr>
      <w:ind w:left="720"/>
      <w:contextualSpacing/>
    </w:pPr>
  </w:style>
  <w:style w:type="character" w:styleId="IntenseEmphasis">
    <w:name w:val="Intense Emphasis"/>
    <w:basedOn w:val="DefaultParagraphFont"/>
    <w:uiPriority w:val="21"/>
    <w:qFormat/>
    <w:rsid w:val="000F45B9"/>
    <w:rPr>
      <w:i/>
      <w:iCs/>
      <w:color w:val="0F4761" w:themeColor="accent1" w:themeShade="BF"/>
    </w:rPr>
  </w:style>
  <w:style w:type="paragraph" w:styleId="IntenseQuote">
    <w:name w:val="Intense Quote"/>
    <w:basedOn w:val="Normal"/>
    <w:next w:val="Normal"/>
    <w:link w:val="IntenseQuoteChar"/>
    <w:uiPriority w:val="30"/>
    <w:qFormat/>
    <w:rsid w:val="000F4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5B9"/>
    <w:rPr>
      <w:i/>
      <w:iCs/>
      <w:color w:val="0F4761" w:themeColor="accent1" w:themeShade="BF"/>
    </w:rPr>
  </w:style>
  <w:style w:type="character" w:styleId="IntenseReference">
    <w:name w:val="Intense Reference"/>
    <w:basedOn w:val="DefaultParagraphFont"/>
    <w:uiPriority w:val="32"/>
    <w:qFormat/>
    <w:rsid w:val="000F45B9"/>
    <w:rPr>
      <w:b/>
      <w:bCs/>
      <w:smallCaps/>
      <w:color w:val="0F4761" w:themeColor="accent1" w:themeShade="BF"/>
      <w:spacing w:val="5"/>
    </w:rPr>
  </w:style>
  <w:style w:type="table" w:styleId="TableGrid">
    <w:name w:val="Table Grid"/>
    <w:basedOn w:val="TableNormal"/>
    <w:uiPriority w:val="39"/>
    <w:rsid w:val="00B40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05DF"/>
    <w:pPr>
      <w:spacing w:after="0" w:line="240" w:lineRule="auto"/>
    </w:pPr>
  </w:style>
  <w:style w:type="paragraph" w:styleId="Header">
    <w:name w:val="header"/>
    <w:basedOn w:val="Normal"/>
    <w:link w:val="HeaderChar"/>
    <w:uiPriority w:val="99"/>
    <w:unhideWhenUsed/>
    <w:rsid w:val="001D70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70EA"/>
  </w:style>
  <w:style w:type="paragraph" w:styleId="Footer">
    <w:name w:val="footer"/>
    <w:basedOn w:val="Normal"/>
    <w:link w:val="FooterChar"/>
    <w:uiPriority w:val="99"/>
    <w:unhideWhenUsed/>
    <w:rsid w:val="001D70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7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6</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Bimont</dc:creator>
  <cp:keywords/>
  <dc:description/>
  <cp:lastModifiedBy>Tin Nguyen</cp:lastModifiedBy>
  <cp:revision>40</cp:revision>
  <dcterms:created xsi:type="dcterms:W3CDTF">2025-11-25T03:10:00Z</dcterms:created>
  <dcterms:modified xsi:type="dcterms:W3CDTF">2026-05-05T22:01:00Z</dcterms:modified>
</cp:coreProperties>
</file>