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501CC" w14:textId="77777777" w:rsidR="00BD05E5" w:rsidRPr="005231CD" w:rsidRDefault="00BD05E5" w:rsidP="00BD05E5">
      <w:pPr>
        <w:pStyle w:val="Indent3"/>
        <w:rPr>
          <w:rFonts w:ascii="Poppins" w:hAnsi="Poppins" w:cs="Poppins"/>
          <w:lang w:val="en-NZ"/>
        </w:rPr>
      </w:pPr>
    </w:p>
    <w:p w14:paraId="79B298B1" w14:textId="77777777" w:rsidR="00BD05E5" w:rsidRPr="00626E7F" w:rsidRDefault="00BD05E5" w:rsidP="00BD05E5">
      <w:pPr>
        <w:pStyle w:val="Heading2"/>
        <w:rPr>
          <w:rFonts w:ascii="Poppins" w:hAnsi="Poppins" w:cs="Poppins"/>
          <w:b/>
          <w:bCs/>
          <w:color w:val="auto"/>
          <w:lang w:val="en-NZ"/>
        </w:rPr>
      </w:pPr>
      <w:bookmarkStart w:id="0" w:name="_Toc241456927"/>
      <w:bookmarkStart w:id="1" w:name="_Toc241464656"/>
      <w:bookmarkStart w:id="2" w:name="_Toc241468426"/>
      <w:bookmarkStart w:id="3" w:name="_Toc52793709"/>
      <w:r w:rsidRPr="00626E7F">
        <w:rPr>
          <w:rFonts w:ascii="Poppins" w:hAnsi="Poppins" w:cs="Poppins"/>
          <w:b/>
          <w:bCs/>
          <w:color w:val="auto"/>
          <w:lang w:val="en-NZ"/>
        </w:rPr>
        <w:t>19.3</w:t>
      </w:r>
      <w:r w:rsidRPr="00626E7F">
        <w:rPr>
          <w:rFonts w:ascii="Poppins" w:hAnsi="Poppins" w:cs="Poppins"/>
          <w:b/>
          <w:bCs/>
          <w:color w:val="auto"/>
          <w:lang w:val="en-NZ"/>
        </w:rPr>
        <w:tab/>
        <w:t>Specific Information Requirements</w:t>
      </w:r>
      <w:bookmarkEnd w:id="0"/>
      <w:bookmarkEnd w:id="1"/>
      <w:bookmarkEnd w:id="2"/>
      <w:bookmarkEnd w:id="3"/>
      <w:r w:rsidRPr="00626E7F">
        <w:rPr>
          <w:rFonts w:ascii="Poppins" w:hAnsi="Poppins" w:cs="Poppins"/>
          <w:b/>
          <w:bCs/>
          <w:color w:val="auto"/>
          <w:lang w:val="en-NZ"/>
        </w:rPr>
        <w:t xml:space="preserve">  </w:t>
      </w:r>
    </w:p>
    <w:p w14:paraId="5398B73C" w14:textId="77777777" w:rsidR="00BD05E5" w:rsidRPr="00626E7F" w:rsidRDefault="00BD05E5" w:rsidP="00BD05E5">
      <w:pPr>
        <w:pStyle w:val="BodyText"/>
        <w:rPr>
          <w:rFonts w:ascii="Poppins" w:hAnsi="Poppins" w:cs="Poppins"/>
          <w:b w:val="0"/>
          <w:lang w:val="en-NZ"/>
        </w:rPr>
      </w:pPr>
      <w:r w:rsidRPr="00626E7F">
        <w:rPr>
          <w:rFonts w:ascii="Poppins" w:hAnsi="Poppins" w:cs="Poppins"/>
          <w:b w:val="0"/>
          <w:lang w:val="en-NZ"/>
        </w:rPr>
        <w:t xml:space="preserve">In addition to the general information required by 19.2 above, where the proposed activity involves the following activities, the information listed will be required. </w:t>
      </w:r>
    </w:p>
    <w:p w14:paraId="3021F20D" w14:textId="77777777" w:rsidR="00BD05E5" w:rsidRPr="00626E7F" w:rsidRDefault="00BD05E5" w:rsidP="00BD05E5">
      <w:pPr>
        <w:pStyle w:val="Indent3"/>
        <w:rPr>
          <w:rFonts w:ascii="Poppins" w:hAnsi="Poppins" w:cs="Poppins"/>
          <w:lang w:val="en-NZ"/>
        </w:rPr>
      </w:pPr>
    </w:p>
    <w:p w14:paraId="214F9D63" w14:textId="77777777" w:rsidR="00BD05E5" w:rsidRPr="00626E7F" w:rsidRDefault="00BD05E5" w:rsidP="00BD05E5">
      <w:pPr>
        <w:pStyle w:val="BodyText"/>
        <w:rPr>
          <w:rFonts w:ascii="Poppins" w:hAnsi="Poppins" w:cs="Poppins"/>
          <w:lang w:val="en-NZ"/>
        </w:rPr>
      </w:pPr>
      <w:bookmarkStart w:id="4" w:name="_Ref365960957"/>
      <w:bookmarkStart w:id="5" w:name="_Toc241456930"/>
      <w:r w:rsidRPr="00626E7F">
        <w:rPr>
          <w:rFonts w:ascii="Poppins" w:hAnsi="Poppins" w:cs="Poppins"/>
          <w:lang w:val="en-NZ"/>
        </w:rPr>
        <w:t>19.3.6</w:t>
      </w:r>
      <w:r w:rsidRPr="00626E7F">
        <w:rPr>
          <w:rFonts w:ascii="Poppins" w:hAnsi="Poppins" w:cs="Poppins"/>
          <w:lang w:val="en-NZ"/>
        </w:rPr>
        <w:tab/>
        <w:t>The discharge of water or contaminants</w:t>
      </w:r>
      <w:bookmarkEnd w:id="4"/>
      <w:bookmarkEnd w:id="5"/>
    </w:p>
    <w:p w14:paraId="0655AF71" w14:textId="77777777" w:rsidR="00BD05E5" w:rsidRPr="00626E7F" w:rsidRDefault="00BD05E5" w:rsidP="00BD05E5">
      <w:pPr>
        <w:pStyle w:val="Indent3"/>
        <w:tabs>
          <w:tab w:val="left" w:pos="1080"/>
        </w:tabs>
        <w:ind w:left="1080" w:hanging="360"/>
        <w:rPr>
          <w:rFonts w:ascii="Poppins" w:hAnsi="Poppins" w:cs="Poppins"/>
          <w:lang w:val="en-NZ"/>
        </w:rPr>
      </w:pPr>
      <w:r w:rsidRPr="00626E7F">
        <w:rPr>
          <w:rFonts w:ascii="Poppins" w:hAnsi="Poppins" w:cs="Poppins"/>
          <w:lang w:val="en-NZ"/>
        </w:rPr>
        <w:t>1.</w:t>
      </w:r>
      <w:r w:rsidRPr="00626E7F">
        <w:rPr>
          <w:rFonts w:ascii="Poppins" w:hAnsi="Poppins" w:cs="Poppins"/>
          <w:lang w:val="en-NZ"/>
        </w:rPr>
        <w:tab/>
        <w:t>A description of the nature, method, volume, contents, rate and frequency of the proposed discharge;</w:t>
      </w:r>
    </w:p>
    <w:p w14:paraId="203838AD" w14:textId="77777777" w:rsidR="00BD05E5" w:rsidRPr="00626E7F" w:rsidRDefault="00BD05E5" w:rsidP="00BD05E5">
      <w:pPr>
        <w:pStyle w:val="Indent3"/>
        <w:tabs>
          <w:tab w:val="left" w:pos="1080"/>
        </w:tabs>
        <w:ind w:left="1080" w:hanging="360"/>
        <w:rPr>
          <w:rFonts w:ascii="Poppins" w:hAnsi="Poppins" w:cs="Poppins"/>
          <w:lang w:val="en-NZ"/>
        </w:rPr>
      </w:pPr>
      <w:r w:rsidRPr="00626E7F">
        <w:rPr>
          <w:rFonts w:ascii="Poppins" w:hAnsi="Poppins" w:cs="Poppins"/>
          <w:lang w:val="en-NZ"/>
        </w:rPr>
        <w:t>2.</w:t>
      </w:r>
      <w:r w:rsidRPr="00626E7F">
        <w:rPr>
          <w:rFonts w:ascii="Poppins" w:hAnsi="Poppins" w:cs="Poppins"/>
          <w:lang w:val="en-NZ"/>
        </w:rPr>
        <w:tab/>
        <w:t>A description of the treatment, if any, of the water or contaminant prior to the proposed discharge;</w:t>
      </w:r>
    </w:p>
    <w:p w14:paraId="27E30849" w14:textId="77777777" w:rsidR="00BD05E5" w:rsidRPr="00626E7F" w:rsidRDefault="00BD05E5" w:rsidP="00BD05E5">
      <w:pPr>
        <w:pStyle w:val="Indent3"/>
        <w:numPr>
          <w:ilvl w:val="1"/>
          <w:numId w:val="7"/>
        </w:numPr>
        <w:tabs>
          <w:tab w:val="clear" w:pos="2160"/>
          <w:tab w:val="num" w:pos="360"/>
          <w:tab w:val="left" w:pos="1080"/>
        </w:tabs>
        <w:ind w:left="1080" w:firstLine="0"/>
        <w:rPr>
          <w:rFonts w:ascii="Poppins" w:hAnsi="Poppins" w:cs="Poppins"/>
          <w:lang w:val="en-NZ"/>
        </w:rPr>
      </w:pPr>
      <w:r w:rsidRPr="00626E7F">
        <w:rPr>
          <w:rFonts w:ascii="Poppins" w:hAnsi="Poppins" w:cs="Poppins"/>
          <w:lang w:val="en-NZ"/>
        </w:rPr>
        <w:t xml:space="preserve">A description of any measures that may be in place to contain an emergency spill or discharge, should any occur; </w:t>
      </w:r>
    </w:p>
    <w:p w14:paraId="4BC19E47" w14:textId="77777777" w:rsidR="00BD05E5" w:rsidRPr="00626E7F" w:rsidRDefault="00BD05E5" w:rsidP="00BD05E5">
      <w:pPr>
        <w:pStyle w:val="Indent3"/>
        <w:numPr>
          <w:ilvl w:val="0"/>
          <w:numId w:val="11"/>
        </w:numPr>
        <w:tabs>
          <w:tab w:val="clear" w:pos="2296"/>
          <w:tab w:val="num" w:pos="360"/>
          <w:tab w:val="left" w:pos="1080"/>
        </w:tabs>
        <w:ind w:left="1080" w:hanging="360"/>
        <w:rPr>
          <w:rFonts w:ascii="Poppins" w:hAnsi="Poppins" w:cs="Poppins"/>
          <w:lang w:val="en-NZ"/>
        </w:rPr>
      </w:pPr>
      <w:r w:rsidRPr="00626E7F">
        <w:rPr>
          <w:rFonts w:ascii="Poppins" w:hAnsi="Poppins" w:cs="Poppins"/>
          <w:lang w:val="en-NZ"/>
        </w:rPr>
        <w:t>An assessment of the ability of the receiving water to assimilate the discharge, in terms of both quantity and quality;</w:t>
      </w:r>
    </w:p>
    <w:p w14:paraId="5DE1E7C0" w14:textId="77777777" w:rsidR="00BD05E5" w:rsidRPr="00626E7F" w:rsidRDefault="00BD05E5" w:rsidP="00BD05E5">
      <w:pPr>
        <w:pStyle w:val="Indent2"/>
        <w:numPr>
          <w:ilvl w:val="0"/>
          <w:numId w:val="11"/>
        </w:numPr>
        <w:tabs>
          <w:tab w:val="clear" w:pos="2296"/>
          <w:tab w:val="left" w:pos="1080"/>
        </w:tabs>
        <w:ind w:left="1080" w:hanging="360"/>
        <w:rPr>
          <w:rFonts w:ascii="Poppins" w:hAnsi="Poppins" w:cs="Poppins"/>
          <w:sz w:val="20"/>
          <w:lang w:val="en-NZ"/>
        </w:rPr>
      </w:pPr>
      <w:r w:rsidRPr="00626E7F">
        <w:rPr>
          <w:rFonts w:ascii="Poppins" w:hAnsi="Poppins" w:cs="Poppins"/>
          <w:sz w:val="20"/>
          <w:lang w:val="en-NZ"/>
        </w:rPr>
        <w:t>An assessment of the effects of the activity on:</w:t>
      </w:r>
    </w:p>
    <w:p w14:paraId="3E84A869" w14:textId="77777777" w:rsidR="00BD05E5" w:rsidRPr="00626E7F" w:rsidRDefault="00BD05E5" w:rsidP="00BD05E5">
      <w:pPr>
        <w:pStyle w:val="Indent3"/>
        <w:numPr>
          <w:ilvl w:val="0"/>
          <w:numId w:val="12"/>
        </w:numPr>
        <w:tabs>
          <w:tab w:val="clear" w:pos="360"/>
        </w:tabs>
        <w:ind w:left="900" w:firstLine="180"/>
        <w:rPr>
          <w:rFonts w:ascii="Poppins" w:hAnsi="Poppins" w:cs="Poppins"/>
          <w:lang w:val="en-NZ"/>
        </w:rPr>
      </w:pPr>
      <w:r w:rsidRPr="00626E7F">
        <w:rPr>
          <w:rFonts w:ascii="Poppins" w:hAnsi="Poppins" w:cs="Poppins"/>
          <w:lang w:val="en-NZ"/>
        </w:rPr>
        <w:t>The values set out in Schedule 7A, 7B and 7C for any affected water body; and</w:t>
      </w:r>
    </w:p>
    <w:p w14:paraId="023DA10F" w14:textId="77777777" w:rsidR="00BD05E5" w:rsidRPr="00626E7F" w:rsidRDefault="00BD05E5" w:rsidP="00BD05E5">
      <w:pPr>
        <w:pStyle w:val="Indent3"/>
        <w:numPr>
          <w:ilvl w:val="0"/>
          <w:numId w:val="12"/>
        </w:numPr>
        <w:tabs>
          <w:tab w:val="clear" w:pos="360"/>
        </w:tabs>
        <w:ind w:left="900" w:firstLine="180"/>
        <w:rPr>
          <w:rFonts w:ascii="Poppins" w:hAnsi="Poppins" w:cs="Poppins"/>
          <w:lang w:val="en-NZ"/>
        </w:rPr>
      </w:pPr>
      <w:r w:rsidRPr="00626E7F">
        <w:rPr>
          <w:rFonts w:ascii="Poppins" w:hAnsi="Poppins" w:cs="Poppins"/>
          <w:lang w:val="en-NZ"/>
        </w:rPr>
        <w:t>Significant indigenous vegetation and significant habitats of indigenous fauna; and</w:t>
      </w:r>
    </w:p>
    <w:p w14:paraId="115878EB" w14:textId="77777777" w:rsidR="00BD05E5" w:rsidRPr="00626E7F" w:rsidRDefault="00BD05E5" w:rsidP="00BD05E5">
      <w:pPr>
        <w:pStyle w:val="Indent3"/>
        <w:numPr>
          <w:ilvl w:val="0"/>
          <w:numId w:val="12"/>
        </w:numPr>
        <w:tabs>
          <w:tab w:val="clear" w:pos="360"/>
        </w:tabs>
        <w:ind w:left="900" w:firstLine="180"/>
        <w:rPr>
          <w:rFonts w:ascii="Poppins" w:hAnsi="Poppins" w:cs="Poppins"/>
          <w:lang w:val="en-NZ"/>
        </w:rPr>
      </w:pPr>
      <w:r w:rsidRPr="00626E7F">
        <w:rPr>
          <w:rFonts w:ascii="Poppins" w:hAnsi="Poppins" w:cs="Poppins"/>
          <w:lang w:val="en-NZ"/>
        </w:rPr>
        <w:t>The natural character of any affected water body; and</w:t>
      </w:r>
    </w:p>
    <w:p w14:paraId="0A239942" w14:textId="77777777" w:rsidR="00BD05E5" w:rsidRPr="00626E7F" w:rsidRDefault="00BD05E5" w:rsidP="00BD05E5">
      <w:pPr>
        <w:pStyle w:val="Indent3"/>
        <w:numPr>
          <w:ilvl w:val="0"/>
          <w:numId w:val="12"/>
        </w:numPr>
        <w:tabs>
          <w:tab w:val="clear" w:pos="360"/>
        </w:tabs>
        <w:ind w:left="900" w:firstLine="180"/>
        <w:rPr>
          <w:rFonts w:ascii="Poppins" w:hAnsi="Poppins" w:cs="Poppins"/>
          <w:lang w:val="en-NZ"/>
        </w:rPr>
      </w:pPr>
      <w:r w:rsidRPr="00626E7F">
        <w:rPr>
          <w:rFonts w:ascii="Poppins" w:hAnsi="Poppins" w:cs="Poppins"/>
          <w:lang w:val="en-NZ"/>
        </w:rPr>
        <w:t>The amenity values supported by any affected water body;</w:t>
      </w:r>
    </w:p>
    <w:p w14:paraId="12BB20D7" w14:textId="77777777" w:rsidR="00BD05E5" w:rsidRPr="00626E7F" w:rsidRDefault="00BD05E5" w:rsidP="00BD05E5">
      <w:pPr>
        <w:pStyle w:val="Indent2"/>
        <w:numPr>
          <w:ilvl w:val="0"/>
          <w:numId w:val="11"/>
        </w:numPr>
        <w:tabs>
          <w:tab w:val="clear" w:pos="2296"/>
        </w:tabs>
        <w:ind w:left="1080" w:hanging="360"/>
        <w:rPr>
          <w:rFonts w:ascii="Poppins" w:hAnsi="Poppins" w:cs="Poppins"/>
          <w:sz w:val="20"/>
          <w:lang w:val="en-NZ"/>
        </w:rPr>
      </w:pPr>
      <w:r w:rsidRPr="00626E7F">
        <w:rPr>
          <w:rFonts w:ascii="Poppins" w:hAnsi="Poppins" w:cs="Poppins"/>
          <w:sz w:val="20"/>
          <w:lang w:val="en-NZ"/>
        </w:rPr>
        <w:t xml:space="preserve">An assessment of the likely effect of the discharge on groundwater quality; </w:t>
      </w:r>
    </w:p>
    <w:p w14:paraId="2FE7A3DC" w14:textId="77777777" w:rsidR="00BD05E5" w:rsidRPr="00626E7F" w:rsidRDefault="00BD05E5" w:rsidP="00BD05E5">
      <w:pPr>
        <w:pStyle w:val="Indent2"/>
        <w:numPr>
          <w:ilvl w:val="0"/>
          <w:numId w:val="11"/>
        </w:numPr>
        <w:tabs>
          <w:tab w:val="clear" w:pos="2296"/>
        </w:tabs>
        <w:ind w:left="1080" w:hanging="360"/>
        <w:rPr>
          <w:rFonts w:ascii="Poppins" w:hAnsi="Poppins" w:cs="Poppins"/>
          <w:sz w:val="20"/>
          <w:lang w:val="en-NZ"/>
        </w:rPr>
      </w:pPr>
      <w:r w:rsidRPr="00626E7F">
        <w:rPr>
          <w:rFonts w:ascii="Poppins" w:hAnsi="Poppins" w:cs="Poppins"/>
          <w:sz w:val="20"/>
          <w:lang w:val="en-NZ"/>
        </w:rPr>
        <w:t>An assessment of the effect of the activity on any natural hazard, and the extent to which it is likely to create or exacerbate a natural hazard;</w:t>
      </w:r>
    </w:p>
    <w:p w14:paraId="6485FAE6" w14:textId="77777777" w:rsidR="00BD05E5" w:rsidRPr="00626E7F" w:rsidRDefault="00BD05E5" w:rsidP="00BD05E5">
      <w:pPr>
        <w:pStyle w:val="Indent2"/>
        <w:numPr>
          <w:ilvl w:val="0"/>
          <w:numId w:val="11"/>
        </w:numPr>
        <w:tabs>
          <w:tab w:val="clear" w:pos="2296"/>
        </w:tabs>
        <w:ind w:left="1080" w:hanging="360"/>
        <w:rPr>
          <w:rFonts w:ascii="Poppins" w:hAnsi="Poppins" w:cs="Poppins"/>
          <w:sz w:val="20"/>
          <w:lang w:val="en-NZ"/>
        </w:rPr>
      </w:pPr>
      <w:r w:rsidRPr="00626E7F">
        <w:rPr>
          <w:rFonts w:ascii="Poppins" w:hAnsi="Poppins" w:cs="Poppins"/>
          <w:sz w:val="20"/>
          <w:lang w:val="en-NZ"/>
        </w:rPr>
        <w:t>An assessment of the effects of the activity on heritage values, including those identified in any district plan, any archaeological site, or any place with interim historic place registration;</w:t>
      </w:r>
    </w:p>
    <w:p w14:paraId="02F72A71" w14:textId="77777777" w:rsidR="00BD05E5" w:rsidRPr="00626E7F" w:rsidRDefault="00BD05E5" w:rsidP="00BD05E5">
      <w:pPr>
        <w:pStyle w:val="Indent2"/>
        <w:numPr>
          <w:ilvl w:val="0"/>
          <w:numId w:val="11"/>
        </w:numPr>
        <w:tabs>
          <w:tab w:val="clear" w:pos="2296"/>
        </w:tabs>
        <w:ind w:left="1080" w:hanging="360"/>
        <w:rPr>
          <w:rFonts w:ascii="Poppins" w:hAnsi="Poppins" w:cs="Poppins"/>
          <w:sz w:val="20"/>
          <w:lang w:val="en-NZ"/>
        </w:rPr>
      </w:pPr>
      <w:r w:rsidRPr="00626E7F">
        <w:rPr>
          <w:rFonts w:ascii="Poppins" w:hAnsi="Poppins" w:cs="Poppins"/>
          <w:sz w:val="20"/>
          <w:lang w:val="en-NZ"/>
        </w:rPr>
        <w:t xml:space="preserve">In the case of stormwater or drainage water discharge: </w:t>
      </w:r>
    </w:p>
    <w:p w14:paraId="5F23DF34" w14:textId="77777777" w:rsidR="00BD05E5" w:rsidRPr="00626E7F" w:rsidRDefault="00BD05E5" w:rsidP="00BD05E5">
      <w:pPr>
        <w:pStyle w:val="Indent3"/>
        <w:numPr>
          <w:ilvl w:val="0"/>
          <w:numId w:val="14"/>
        </w:numPr>
        <w:tabs>
          <w:tab w:val="clear" w:pos="360"/>
        </w:tabs>
        <w:ind w:left="1440" w:firstLine="0"/>
        <w:rPr>
          <w:rFonts w:ascii="Poppins" w:hAnsi="Poppins" w:cs="Poppins"/>
          <w:lang w:val="en-NZ"/>
        </w:rPr>
      </w:pPr>
      <w:r w:rsidRPr="00626E7F">
        <w:rPr>
          <w:rFonts w:ascii="Poppins" w:hAnsi="Poppins" w:cs="Poppins"/>
          <w:lang w:val="en-NZ"/>
        </w:rPr>
        <w:t>A description of the nature of activities served by the system; and</w:t>
      </w:r>
    </w:p>
    <w:p w14:paraId="7E36C9E5" w14:textId="77777777" w:rsidR="00BD05E5" w:rsidRPr="00626E7F" w:rsidRDefault="00BD05E5" w:rsidP="00BD05E5">
      <w:pPr>
        <w:pStyle w:val="Indent3"/>
        <w:numPr>
          <w:ilvl w:val="0"/>
          <w:numId w:val="14"/>
        </w:numPr>
        <w:tabs>
          <w:tab w:val="clear" w:pos="360"/>
        </w:tabs>
        <w:ind w:left="1440" w:firstLine="0"/>
        <w:rPr>
          <w:rFonts w:ascii="Poppins" w:hAnsi="Poppins" w:cs="Poppins"/>
          <w:lang w:val="en-NZ"/>
        </w:rPr>
      </w:pPr>
      <w:r w:rsidRPr="00626E7F">
        <w:rPr>
          <w:rFonts w:ascii="Poppins" w:hAnsi="Poppins" w:cs="Poppins"/>
          <w:lang w:val="en-NZ"/>
        </w:rPr>
        <w:t xml:space="preserve">Details of the design of the system, </w:t>
      </w:r>
      <w:proofErr w:type="gramStart"/>
      <w:r w:rsidRPr="00626E7F">
        <w:rPr>
          <w:rFonts w:ascii="Poppins" w:hAnsi="Poppins" w:cs="Poppins"/>
          <w:lang w:val="en-NZ"/>
        </w:rPr>
        <w:t>in particular</w:t>
      </w:r>
      <w:proofErr w:type="gramEnd"/>
      <w:r w:rsidRPr="00626E7F">
        <w:rPr>
          <w:rFonts w:ascii="Poppins" w:hAnsi="Poppins" w:cs="Poppins"/>
          <w:lang w:val="en-NZ"/>
        </w:rPr>
        <w:t xml:space="preserve"> its capacity, its specifications and its maintenance regime;</w:t>
      </w:r>
    </w:p>
    <w:p w14:paraId="16EC5EA3" w14:textId="77777777" w:rsidR="00BD05E5" w:rsidRPr="00626E7F" w:rsidRDefault="00BD05E5" w:rsidP="00BD05E5">
      <w:pPr>
        <w:pStyle w:val="Indent2"/>
        <w:numPr>
          <w:ilvl w:val="0"/>
          <w:numId w:val="11"/>
        </w:numPr>
        <w:tabs>
          <w:tab w:val="clear" w:pos="2296"/>
        </w:tabs>
        <w:ind w:left="1080" w:hanging="360"/>
        <w:rPr>
          <w:rFonts w:ascii="Poppins" w:hAnsi="Poppins" w:cs="Poppins"/>
          <w:sz w:val="20"/>
          <w:lang w:val="en-NZ"/>
        </w:rPr>
      </w:pPr>
      <w:r w:rsidRPr="00626E7F">
        <w:rPr>
          <w:rFonts w:ascii="Poppins" w:hAnsi="Poppins" w:cs="Poppins"/>
          <w:sz w:val="20"/>
          <w:lang w:val="en-NZ"/>
        </w:rPr>
        <w:t xml:space="preserve">In the case of human sewage or animal waste discharge, details of the design of the system, </w:t>
      </w:r>
      <w:proofErr w:type="gramStart"/>
      <w:r w:rsidRPr="00626E7F">
        <w:rPr>
          <w:rFonts w:ascii="Poppins" w:hAnsi="Poppins" w:cs="Poppins"/>
          <w:sz w:val="20"/>
          <w:lang w:val="en-NZ"/>
        </w:rPr>
        <w:t>in particular</w:t>
      </w:r>
      <w:proofErr w:type="gramEnd"/>
      <w:r w:rsidRPr="00626E7F">
        <w:rPr>
          <w:rFonts w:ascii="Poppins" w:hAnsi="Poppins" w:cs="Poppins"/>
          <w:sz w:val="20"/>
          <w:lang w:val="en-NZ"/>
        </w:rPr>
        <w:t xml:space="preserve"> its capacity, its specifications and its maintenance regime;</w:t>
      </w:r>
    </w:p>
    <w:p w14:paraId="04F76437" w14:textId="77777777" w:rsidR="00BD05E5" w:rsidRPr="00626E7F" w:rsidRDefault="00BD05E5" w:rsidP="00BD05E5">
      <w:pPr>
        <w:pStyle w:val="Indent2"/>
        <w:numPr>
          <w:ilvl w:val="0"/>
          <w:numId w:val="11"/>
        </w:numPr>
        <w:tabs>
          <w:tab w:val="clear" w:pos="2296"/>
        </w:tabs>
        <w:ind w:left="1080" w:hanging="360"/>
        <w:rPr>
          <w:rFonts w:ascii="Poppins" w:hAnsi="Poppins" w:cs="Poppins"/>
          <w:sz w:val="20"/>
          <w:lang w:val="en-NZ"/>
        </w:rPr>
      </w:pPr>
      <w:r w:rsidRPr="00626E7F">
        <w:rPr>
          <w:rFonts w:ascii="Poppins" w:hAnsi="Poppins" w:cs="Poppins"/>
          <w:sz w:val="20"/>
          <w:lang w:val="en-NZ"/>
        </w:rPr>
        <w:t>In the case of pesticide or fertiliser discharge, details of any manufacturer’s directions for handling or application;</w:t>
      </w:r>
    </w:p>
    <w:p w14:paraId="21CC5305" w14:textId="77777777" w:rsidR="00BD05E5" w:rsidRPr="00626E7F" w:rsidRDefault="00BD05E5" w:rsidP="00BD05E5">
      <w:pPr>
        <w:pStyle w:val="Indent2"/>
        <w:numPr>
          <w:ilvl w:val="0"/>
          <w:numId w:val="11"/>
        </w:numPr>
        <w:tabs>
          <w:tab w:val="clear" w:pos="2296"/>
        </w:tabs>
        <w:ind w:left="1080" w:hanging="360"/>
        <w:rPr>
          <w:rFonts w:ascii="Poppins" w:hAnsi="Poppins" w:cs="Poppins"/>
          <w:sz w:val="20"/>
          <w:lang w:val="en-NZ"/>
        </w:rPr>
      </w:pPr>
      <w:r w:rsidRPr="00626E7F">
        <w:rPr>
          <w:rFonts w:ascii="Poppins" w:hAnsi="Poppins" w:cs="Poppins"/>
          <w:sz w:val="20"/>
          <w:lang w:val="en-NZ"/>
        </w:rPr>
        <w:t xml:space="preserve">An assessment of the effects on cultural values. </w:t>
      </w:r>
    </w:p>
    <w:p w14:paraId="3699B3C5" w14:textId="77777777" w:rsidR="00BD05E5" w:rsidRPr="00626E7F" w:rsidRDefault="00BD05E5" w:rsidP="00BD05E5">
      <w:pPr>
        <w:pStyle w:val="Indent2"/>
        <w:rPr>
          <w:rFonts w:ascii="Poppins" w:hAnsi="Poppins" w:cs="Poppins"/>
          <w:b/>
          <w:sz w:val="20"/>
          <w:lang w:val="en-NZ"/>
        </w:rPr>
      </w:pPr>
    </w:p>
    <w:p w14:paraId="419254F3" w14:textId="77777777" w:rsidR="00BD05E5" w:rsidRPr="00626E7F" w:rsidRDefault="00BD05E5" w:rsidP="00BD05E5">
      <w:pPr>
        <w:pStyle w:val="BodyText"/>
        <w:rPr>
          <w:rFonts w:ascii="Poppins" w:hAnsi="Poppins" w:cs="Poppins"/>
          <w:lang w:val="en-NZ"/>
        </w:rPr>
      </w:pPr>
      <w:bookmarkStart w:id="6" w:name="_Toc241456931"/>
      <w:r w:rsidRPr="00626E7F">
        <w:rPr>
          <w:rFonts w:ascii="Poppins" w:hAnsi="Poppins" w:cs="Poppins"/>
          <w:lang w:val="en-NZ"/>
        </w:rPr>
        <w:t>19.3.7</w:t>
      </w:r>
      <w:r w:rsidRPr="00626E7F">
        <w:rPr>
          <w:rFonts w:ascii="Poppins" w:hAnsi="Poppins" w:cs="Poppins"/>
          <w:lang w:val="en-NZ"/>
        </w:rPr>
        <w:tab/>
        <w:t>Acid mine drainage</w:t>
      </w:r>
      <w:bookmarkEnd w:id="6"/>
    </w:p>
    <w:p w14:paraId="25D1B397" w14:textId="77777777" w:rsidR="00BD05E5" w:rsidRPr="00626E7F" w:rsidRDefault="00BD05E5" w:rsidP="00BD05E5">
      <w:pPr>
        <w:pStyle w:val="Indent3"/>
        <w:ind w:left="1080" w:hanging="360"/>
        <w:rPr>
          <w:rFonts w:ascii="Poppins" w:hAnsi="Poppins" w:cs="Poppins"/>
          <w:lang w:val="en-NZ"/>
        </w:rPr>
      </w:pPr>
      <w:r w:rsidRPr="00626E7F">
        <w:rPr>
          <w:rFonts w:ascii="Poppins" w:hAnsi="Poppins" w:cs="Poppins"/>
          <w:lang w:val="en-NZ"/>
        </w:rPr>
        <w:t>1.</w:t>
      </w:r>
      <w:r w:rsidRPr="00626E7F">
        <w:rPr>
          <w:rFonts w:ascii="Poppins" w:hAnsi="Poppins" w:cs="Poppins"/>
          <w:lang w:val="en-NZ"/>
        </w:rPr>
        <w:tab/>
        <w:t xml:space="preserve">A detailed description of the geology and geochemistry of the proposed area to be mined including the percentage and type of </w:t>
      </w:r>
      <w:proofErr w:type="spellStart"/>
      <w:r w:rsidRPr="00626E7F">
        <w:rPr>
          <w:rFonts w:ascii="Poppins" w:hAnsi="Poppins" w:cs="Poppins"/>
          <w:lang w:val="en-NZ"/>
        </w:rPr>
        <w:t>sulphitic</w:t>
      </w:r>
      <w:proofErr w:type="spellEnd"/>
      <w:r w:rsidRPr="00626E7F">
        <w:rPr>
          <w:rFonts w:ascii="Poppins" w:hAnsi="Poppins" w:cs="Poppins"/>
          <w:lang w:val="en-NZ"/>
        </w:rPr>
        <w:t xml:space="preserve"> minerals in various lithologies that will be affected by mining;</w:t>
      </w:r>
    </w:p>
    <w:p w14:paraId="78E35C01" w14:textId="77777777" w:rsidR="00BD05E5" w:rsidRPr="00626E7F" w:rsidRDefault="00BD05E5" w:rsidP="00BD05E5">
      <w:pPr>
        <w:pStyle w:val="Indent3"/>
        <w:ind w:left="1080" w:hanging="360"/>
        <w:rPr>
          <w:rFonts w:ascii="Poppins" w:hAnsi="Poppins" w:cs="Poppins"/>
          <w:bCs/>
          <w:iCs/>
          <w:lang w:val="en-NZ"/>
        </w:rPr>
      </w:pPr>
      <w:r w:rsidRPr="00626E7F">
        <w:rPr>
          <w:rFonts w:ascii="Poppins" w:hAnsi="Poppins" w:cs="Poppins"/>
          <w:lang w:val="en-NZ"/>
        </w:rPr>
        <w:t>2.</w:t>
      </w:r>
      <w:r w:rsidRPr="00626E7F">
        <w:rPr>
          <w:rFonts w:ascii="Poppins" w:hAnsi="Poppins" w:cs="Poppins"/>
          <w:lang w:val="en-NZ"/>
        </w:rPr>
        <w:tab/>
      </w:r>
      <w:r w:rsidRPr="00626E7F">
        <w:rPr>
          <w:rFonts w:ascii="Poppins" w:hAnsi="Poppins" w:cs="Poppins"/>
          <w:bCs/>
          <w:iCs/>
          <w:lang w:val="en-NZ"/>
        </w:rPr>
        <w:t>A detailed description of the geology and geochemistry of the proposed area to be mined;</w:t>
      </w:r>
    </w:p>
    <w:p w14:paraId="454D7C63" w14:textId="77777777" w:rsidR="00BD05E5" w:rsidRPr="00626E7F" w:rsidRDefault="00BD05E5" w:rsidP="00BD05E5">
      <w:pPr>
        <w:ind w:left="1080" w:hanging="360"/>
        <w:jc w:val="both"/>
        <w:rPr>
          <w:rFonts w:ascii="Poppins" w:hAnsi="Poppins" w:cs="Poppins"/>
          <w:bCs/>
          <w:iCs/>
          <w:sz w:val="20"/>
          <w:szCs w:val="20"/>
          <w:lang w:val="en-NZ"/>
        </w:rPr>
      </w:pPr>
      <w:r w:rsidRPr="00626E7F">
        <w:rPr>
          <w:rFonts w:ascii="Poppins" w:hAnsi="Poppins" w:cs="Poppins"/>
          <w:bCs/>
          <w:iCs/>
          <w:sz w:val="20"/>
          <w:szCs w:val="20"/>
          <w:lang w:val="en-NZ"/>
        </w:rPr>
        <w:lastRenderedPageBreak/>
        <w:t xml:space="preserve">3.  </w:t>
      </w:r>
      <w:r w:rsidRPr="00626E7F">
        <w:rPr>
          <w:rFonts w:ascii="Poppins" w:hAnsi="Poppins" w:cs="Poppins"/>
          <w:bCs/>
          <w:iCs/>
          <w:sz w:val="20"/>
          <w:szCs w:val="20"/>
          <w:lang w:val="en-NZ"/>
        </w:rPr>
        <w:tab/>
        <w:t>A description of the testing regime undertaken to identify acid producing potential;</w:t>
      </w:r>
    </w:p>
    <w:p w14:paraId="48A9BCB4" w14:textId="77777777" w:rsidR="00BD05E5" w:rsidRPr="00626E7F" w:rsidRDefault="00BD05E5" w:rsidP="00BD05E5">
      <w:pPr>
        <w:ind w:left="1080" w:hanging="360"/>
        <w:jc w:val="both"/>
        <w:rPr>
          <w:rFonts w:ascii="Poppins" w:hAnsi="Poppins" w:cs="Poppins"/>
          <w:bCs/>
          <w:iCs/>
          <w:sz w:val="20"/>
          <w:szCs w:val="20"/>
          <w:lang w:val="en-NZ"/>
        </w:rPr>
      </w:pPr>
      <w:r w:rsidRPr="00626E7F">
        <w:rPr>
          <w:rFonts w:ascii="Poppins" w:hAnsi="Poppins" w:cs="Poppins"/>
          <w:bCs/>
          <w:iCs/>
          <w:sz w:val="20"/>
          <w:szCs w:val="20"/>
          <w:lang w:val="en-NZ"/>
        </w:rPr>
        <w:t xml:space="preserve">4.  </w:t>
      </w:r>
      <w:r w:rsidRPr="00626E7F">
        <w:rPr>
          <w:rFonts w:ascii="Poppins" w:hAnsi="Poppins" w:cs="Poppins"/>
          <w:bCs/>
          <w:iCs/>
          <w:sz w:val="20"/>
          <w:szCs w:val="20"/>
          <w:lang w:val="en-NZ"/>
        </w:rPr>
        <w:tab/>
        <w:t>An assessment of the likely contaminants (including heavy metals) in any leachate; and</w:t>
      </w:r>
    </w:p>
    <w:p w14:paraId="32B91DF5" w14:textId="77777777" w:rsidR="00BD05E5" w:rsidRPr="00626E7F" w:rsidRDefault="00BD05E5" w:rsidP="00BD05E5">
      <w:pPr>
        <w:pStyle w:val="BodyTextIndent"/>
        <w:ind w:left="1080"/>
        <w:rPr>
          <w:rFonts w:ascii="Poppins" w:hAnsi="Poppins" w:cs="Poppins"/>
          <w:sz w:val="20"/>
          <w:szCs w:val="20"/>
          <w:lang w:val="en-NZ"/>
        </w:rPr>
      </w:pPr>
      <w:r w:rsidRPr="00626E7F">
        <w:rPr>
          <w:rFonts w:ascii="Poppins" w:hAnsi="Poppins" w:cs="Poppins"/>
          <w:sz w:val="20"/>
          <w:szCs w:val="20"/>
          <w:lang w:val="en-NZ"/>
        </w:rPr>
        <w:t xml:space="preserve">5.  </w:t>
      </w:r>
      <w:r w:rsidRPr="00626E7F">
        <w:rPr>
          <w:rFonts w:ascii="Poppins" w:hAnsi="Poppins" w:cs="Poppins"/>
          <w:sz w:val="20"/>
          <w:szCs w:val="20"/>
          <w:lang w:val="en-NZ"/>
        </w:rPr>
        <w:tab/>
        <w:t>A description of the mitigation measures that will be employed to manage or prevent acid drainage.</w:t>
      </w:r>
    </w:p>
    <w:p w14:paraId="02BF0E4F" w14:textId="77777777" w:rsidR="00BD05E5" w:rsidRPr="00626E7F" w:rsidRDefault="00BD05E5" w:rsidP="00BD05E5">
      <w:pPr>
        <w:rPr>
          <w:rFonts w:ascii="Poppins" w:hAnsi="Poppins" w:cs="Poppins"/>
          <w:sz w:val="20"/>
          <w:szCs w:val="20"/>
          <w:lang w:val="en-NZ"/>
        </w:rPr>
      </w:pPr>
    </w:p>
    <w:p w14:paraId="7694990E" w14:textId="77777777" w:rsidR="00BD05E5" w:rsidRPr="00626E7F" w:rsidRDefault="00BD05E5" w:rsidP="00BD05E5">
      <w:pPr>
        <w:pStyle w:val="Indent1"/>
        <w:tabs>
          <w:tab w:val="left" w:pos="540"/>
        </w:tabs>
        <w:rPr>
          <w:rFonts w:ascii="Poppins" w:hAnsi="Poppins" w:cs="Poppins"/>
          <w:b/>
          <w:bCs/>
          <w:spacing w:val="-2"/>
          <w:sz w:val="20"/>
          <w:lang w:val="en-NZ"/>
        </w:rPr>
      </w:pPr>
      <w:r w:rsidRPr="00626E7F">
        <w:rPr>
          <w:rFonts w:ascii="Poppins" w:hAnsi="Poppins" w:cs="Poppins"/>
          <w:b/>
          <w:bCs/>
          <w:spacing w:val="-2"/>
          <w:sz w:val="20"/>
          <w:lang w:val="en-NZ"/>
        </w:rPr>
        <w:t>19.3.8</w:t>
      </w:r>
      <w:r w:rsidRPr="00626E7F">
        <w:rPr>
          <w:rFonts w:ascii="Poppins" w:hAnsi="Poppins" w:cs="Poppins"/>
          <w:b/>
          <w:bCs/>
          <w:spacing w:val="-2"/>
          <w:sz w:val="20"/>
          <w:lang w:val="en-NZ"/>
        </w:rPr>
        <w:tab/>
        <w:t xml:space="preserve">Discharges to land </w:t>
      </w:r>
    </w:p>
    <w:p w14:paraId="3DC09C4F" w14:textId="77777777" w:rsidR="00BD05E5" w:rsidRPr="00626E7F" w:rsidRDefault="00BD05E5" w:rsidP="00BD05E5">
      <w:pPr>
        <w:pStyle w:val="Indent1"/>
        <w:numPr>
          <w:ilvl w:val="0"/>
          <w:numId w:val="16"/>
        </w:numPr>
        <w:tabs>
          <w:tab w:val="clear" w:pos="720"/>
        </w:tabs>
        <w:ind w:left="1080"/>
        <w:rPr>
          <w:rFonts w:ascii="Poppins" w:hAnsi="Poppins" w:cs="Poppins"/>
          <w:spacing w:val="-2"/>
          <w:sz w:val="20"/>
          <w:lang w:val="en-NZ"/>
        </w:rPr>
      </w:pPr>
      <w:r w:rsidRPr="00626E7F">
        <w:rPr>
          <w:rFonts w:ascii="Poppins" w:hAnsi="Poppins" w:cs="Poppins"/>
          <w:spacing w:val="-2"/>
          <w:sz w:val="20"/>
          <w:lang w:val="en-NZ"/>
        </w:rPr>
        <w:t>Provisions adopted to avoid, remedy or mitigate any adverse effects on surface water, groundwater, soil, human health and the health of plants, animals and ecosystems that may arise from the discharge of contaminants or any runoff, including the sensitivity of the receiving environment and the proximity of the discharge to waterbodies and the coastal marine area;</w:t>
      </w:r>
    </w:p>
    <w:p w14:paraId="21395499" w14:textId="77777777" w:rsidR="00BD05E5" w:rsidRPr="00626E7F" w:rsidRDefault="00BD05E5" w:rsidP="00BD05E5">
      <w:pPr>
        <w:pStyle w:val="Indent1"/>
        <w:numPr>
          <w:ilvl w:val="0"/>
          <w:numId w:val="16"/>
        </w:numPr>
        <w:tabs>
          <w:tab w:val="clear" w:pos="720"/>
        </w:tabs>
        <w:ind w:left="1080"/>
        <w:rPr>
          <w:rFonts w:ascii="Poppins" w:hAnsi="Poppins" w:cs="Poppins"/>
          <w:spacing w:val="-2"/>
          <w:sz w:val="20"/>
          <w:lang w:val="en-NZ"/>
        </w:rPr>
      </w:pPr>
      <w:r w:rsidRPr="00626E7F">
        <w:rPr>
          <w:rFonts w:ascii="Poppins" w:hAnsi="Poppins" w:cs="Poppins"/>
          <w:spacing w:val="-2"/>
          <w:sz w:val="20"/>
          <w:lang w:val="en-NZ"/>
        </w:rPr>
        <w:t>Operational and management procedures, including contingency provisions and maintenance programmes, and for accidental discharges;</w:t>
      </w:r>
    </w:p>
    <w:p w14:paraId="2F6F3984" w14:textId="77777777" w:rsidR="00BD05E5" w:rsidRPr="00626E7F" w:rsidRDefault="00BD05E5" w:rsidP="00BD05E5">
      <w:pPr>
        <w:pStyle w:val="Indent1"/>
        <w:numPr>
          <w:ilvl w:val="0"/>
          <w:numId w:val="16"/>
        </w:numPr>
        <w:tabs>
          <w:tab w:val="clear" w:pos="720"/>
        </w:tabs>
        <w:ind w:left="1080"/>
        <w:rPr>
          <w:rFonts w:ascii="Poppins" w:hAnsi="Poppins" w:cs="Poppins"/>
          <w:spacing w:val="-2"/>
          <w:sz w:val="20"/>
          <w:lang w:val="en-NZ"/>
        </w:rPr>
      </w:pPr>
      <w:r w:rsidRPr="00626E7F">
        <w:rPr>
          <w:rFonts w:ascii="Poppins" w:hAnsi="Poppins" w:cs="Poppins"/>
          <w:spacing w:val="-2"/>
          <w:sz w:val="20"/>
          <w:lang w:val="en-NZ"/>
        </w:rPr>
        <w:t>Design and construction standards, including the provision of bunds and sealing as they relate to any actual or potential discharge of contaminants;</w:t>
      </w:r>
    </w:p>
    <w:p w14:paraId="58FE3ED0" w14:textId="77777777" w:rsidR="00BD05E5" w:rsidRPr="00626E7F" w:rsidRDefault="00BD05E5" w:rsidP="00BD05E5">
      <w:pPr>
        <w:pStyle w:val="Indent1"/>
        <w:numPr>
          <w:ilvl w:val="0"/>
          <w:numId w:val="16"/>
        </w:numPr>
        <w:tabs>
          <w:tab w:val="clear" w:pos="720"/>
        </w:tabs>
        <w:ind w:left="1080"/>
        <w:rPr>
          <w:rFonts w:ascii="Poppins" w:hAnsi="Poppins" w:cs="Poppins"/>
          <w:spacing w:val="-2"/>
          <w:sz w:val="20"/>
          <w:lang w:val="en-NZ"/>
        </w:rPr>
      </w:pPr>
      <w:r w:rsidRPr="00626E7F">
        <w:rPr>
          <w:rFonts w:ascii="Poppins" w:hAnsi="Poppins" w:cs="Poppins"/>
          <w:spacing w:val="-2"/>
          <w:sz w:val="20"/>
          <w:lang w:val="en-NZ"/>
        </w:rPr>
        <w:t xml:space="preserve">The location of the facility relative to sites of high natural or recreational value, registered under the Historic Places Act 1993, of significance to </w:t>
      </w:r>
      <w:proofErr w:type="spellStart"/>
      <w:r w:rsidRPr="00626E7F">
        <w:rPr>
          <w:rFonts w:ascii="Poppins" w:hAnsi="Poppins" w:cs="Poppins"/>
          <w:spacing w:val="-2"/>
          <w:sz w:val="20"/>
          <w:lang w:val="en-NZ"/>
        </w:rPr>
        <w:t>Poutini</w:t>
      </w:r>
      <w:proofErr w:type="spellEnd"/>
      <w:r w:rsidRPr="00626E7F">
        <w:rPr>
          <w:rFonts w:ascii="Poppins" w:hAnsi="Poppins" w:cs="Poppins"/>
          <w:spacing w:val="-2"/>
          <w:sz w:val="20"/>
          <w:lang w:val="en-NZ"/>
        </w:rPr>
        <w:t xml:space="preserve"> Ngai Tahu, or distance to any dwelling or public facility not on the site;</w:t>
      </w:r>
    </w:p>
    <w:p w14:paraId="2CBCA4CE" w14:textId="77777777" w:rsidR="00BD05E5" w:rsidRPr="00626E7F" w:rsidRDefault="00BD05E5" w:rsidP="00BD05E5">
      <w:pPr>
        <w:pStyle w:val="Indent1"/>
        <w:numPr>
          <w:ilvl w:val="0"/>
          <w:numId w:val="16"/>
        </w:numPr>
        <w:tabs>
          <w:tab w:val="clear" w:pos="720"/>
        </w:tabs>
        <w:ind w:left="1080"/>
        <w:rPr>
          <w:rFonts w:ascii="Poppins" w:hAnsi="Poppins" w:cs="Poppins"/>
          <w:spacing w:val="-2"/>
          <w:sz w:val="20"/>
          <w:lang w:val="en-NZ"/>
        </w:rPr>
      </w:pPr>
      <w:r w:rsidRPr="00626E7F">
        <w:rPr>
          <w:rFonts w:ascii="Poppins" w:hAnsi="Poppins" w:cs="Poppins"/>
          <w:spacing w:val="-2"/>
          <w:sz w:val="20"/>
          <w:lang w:val="en-NZ"/>
        </w:rPr>
        <w:t>Monitoring provisions, charges for monitoring and inspections;</w:t>
      </w:r>
    </w:p>
    <w:p w14:paraId="5C0B343F" w14:textId="77777777" w:rsidR="00BD05E5" w:rsidRPr="00626E7F" w:rsidRDefault="00BD05E5" w:rsidP="00BD05E5">
      <w:pPr>
        <w:pStyle w:val="Indent1"/>
        <w:numPr>
          <w:ilvl w:val="0"/>
          <w:numId w:val="16"/>
        </w:numPr>
        <w:tabs>
          <w:tab w:val="clear" w:pos="720"/>
        </w:tabs>
        <w:ind w:left="1080"/>
        <w:rPr>
          <w:rFonts w:ascii="Poppins" w:hAnsi="Poppins" w:cs="Poppins"/>
          <w:spacing w:val="-2"/>
          <w:sz w:val="20"/>
          <w:lang w:val="en-NZ"/>
        </w:rPr>
      </w:pPr>
      <w:r w:rsidRPr="00626E7F">
        <w:rPr>
          <w:rFonts w:ascii="Poppins" w:hAnsi="Poppins" w:cs="Poppins"/>
          <w:spacing w:val="-2"/>
          <w:sz w:val="20"/>
          <w:lang w:val="en-NZ"/>
        </w:rPr>
        <w:t>Review of conditions and duration of resource consents;</w:t>
      </w:r>
    </w:p>
    <w:p w14:paraId="34E044AE" w14:textId="77777777" w:rsidR="00BD05E5" w:rsidRPr="00626E7F" w:rsidRDefault="00BD05E5" w:rsidP="00BD05E5">
      <w:pPr>
        <w:pStyle w:val="Indent1"/>
        <w:numPr>
          <w:ilvl w:val="0"/>
          <w:numId w:val="16"/>
        </w:numPr>
        <w:tabs>
          <w:tab w:val="clear" w:pos="720"/>
        </w:tabs>
        <w:ind w:left="1080"/>
        <w:rPr>
          <w:rFonts w:ascii="Poppins" w:hAnsi="Poppins" w:cs="Poppins"/>
          <w:spacing w:val="-2"/>
          <w:sz w:val="20"/>
          <w:lang w:val="en-NZ"/>
        </w:rPr>
      </w:pPr>
      <w:r w:rsidRPr="00626E7F">
        <w:rPr>
          <w:rFonts w:ascii="Poppins" w:hAnsi="Poppins" w:cs="Poppins"/>
          <w:spacing w:val="-2"/>
          <w:sz w:val="20"/>
          <w:lang w:val="en-NZ"/>
        </w:rPr>
        <w:t>Establishment of a bond;</w:t>
      </w:r>
    </w:p>
    <w:p w14:paraId="1AB7A15A" w14:textId="77777777" w:rsidR="00BD05E5" w:rsidRPr="00626E7F" w:rsidRDefault="00BD05E5" w:rsidP="00BD05E5">
      <w:pPr>
        <w:pStyle w:val="Indent1"/>
        <w:numPr>
          <w:ilvl w:val="0"/>
          <w:numId w:val="16"/>
        </w:numPr>
        <w:tabs>
          <w:tab w:val="clear" w:pos="720"/>
        </w:tabs>
        <w:ind w:left="1080"/>
        <w:rPr>
          <w:rFonts w:ascii="Poppins" w:hAnsi="Poppins" w:cs="Poppins"/>
          <w:spacing w:val="-2"/>
          <w:sz w:val="20"/>
          <w:lang w:val="en-NZ"/>
        </w:rPr>
      </w:pPr>
      <w:r w:rsidRPr="00626E7F">
        <w:rPr>
          <w:rFonts w:ascii="Poppins" w:hAnsi="Poppins" w:cs="Poppins"/>
          <w:spacing w:val="-2"/>
          <w:sz w:val="20"/>
          <w:lang w:val="en-NZ"/>
        </w:rPr>
        <w:t>After-care and rehabilitation of the facility following closure;</w:t>
      </w:r>
    </w:p>
    <w:p w14:paraId="11B5C0E1" w14:textId="77777777" w:rsidR="00BD05E5" w:rsidRPr="00626E7F" w:rsidRDefault="00BD05E5" w:rsidP="00BD05E5">
      <w:pPr>
        <w:pStyle w:val="Indent1"/>
        <w:numPr>
          <w:ilvl w:val="0"/>
          <w:numId w:val="16"/>
        </w:numPr>
        <w:tabs>
          <w:tab w:val="clear" w:pos="720"/>
        </w:tabs>
        <w:ind w:left="1080"/>
        <w:rPr>
          <w:rFonts w:ascii="Poppins" w:hAnsi="Poppins" w:cs="Poppins"/>
          <w:spacing w:val="-2"/>
          <w:sz w:val="20"/>
          <w:lang w:val="en-NZ"/>
        </w:rPr>
      </w:pPr>
      <w:r w:rsidRPr="00626E7F">
        <w:rPr>
          <w:rFonts w:ascii="Poppins" w:hAnsi="Poppins" w:cs="Poppins"/>
          <w:spacing w:val="-2"/>
          <w:sz w:val="20"/>
          <w:lang w:val="en-NZ"/>
        </w:rPr>
        <w:t>Extent and location of discharge, including cumulative effects arising from proximity of other discharges to land;</w:t>
      </w:r>
    </w:p>
    <w:p w14:paraId="04B540A6" w14:textId="77777777" w:rsidR="00BD05E5" w:rsidRPr="00626E7F" w:rsidRDefault="00BD05E5" w:rsidP="00BD05E5">
      <w:pPr>
        <w:pStyle w:val="Indent1"/>
        <w:numPr>
          <w:ilvl w:val="0"/>
          <w:numId w:val="16"/>
        </w:numPr>
        <w:tabs>
          <w:tab w:val="clear" w:pos="720"/>
        </w:tabs>
        <w:ind w:left="1080"/>
        <w:rPr>
          <w:rFonts w:ascii="Poppins" w:hAnsi="Poppins" w:cs="Poppins"/>
          <w:spacing w:val="-2"/>
          <w:sz w:val="20"/>
          <w:lang w:val="en-NZ"/>
        </w:rPr>
      </w:pPr>
      <w:r w:rsidRPr="00626E7F">
        <w:rPr>
          <w:rFonts w:ascii="Poppins" w:hAnsi="Poppins" w:cs="Poppins"/>
          <w:spacing w:val="-2"/>
          <w:sz w:val="20"/>
          <w:lang w:val="en-NZ"/>
        </w:rPr>
        <w:t>The types of waste to be disposed of at the facility, or to be composted;</w:t>
      </w:r>
    </w:p>
    <w:p w14:paraId="387DC9AA" w14:textId="77777777" w:rsidR="00BD05E5" w:rsidRPr="00626E7F" w:rsidRDefault="00BD05E5" w:rsidP="00BD05E5">
      <w:pPr>
        <w:pStyle w:val="Indent1"/>
        <w:numPr>
          <w:ilvl w:val="0"/>
          <w:numId w:val="16"/>
        </w:numPr>
        <w:tabs>
          <w:tab w:val="clear" w:pos="720"/>
        </w:tabs>
        <w:ind w:left="1080"/>
        <w:rPr>
          <w:rFonts w:ascii="Poppins" w:hAnsi="Poppins" w:cs="Poppins"/>
          <w:spacing w:val="-2"/>
          <w:sz w:val="20"/>
          <w:lang w:val="en-NZ"/>
        </w:rPr>
      </w:pPr>
      <w:r w:rsidRPr="00626E7F">
        <w:rPr>
          <w:rFonts w:ascii="Poppins" w:hAnsi="Poppins" w:cs="Poppins"/>
          <w:spacing w:val="-2"/>
          <w:sz w:val="20"/>
          <w:lang w:val="en-NZ"/>
        </w:rPr>
        <w:t>Provisions for the development of alternative waste disposal options and measures the applicant will take to implement waste minimisation procedures on site;</w:t>
      </w:r>
    </w:p>
    <w:p w14:paraId="4CAE62C9" w14:textId="77777777" w:rsidR="00BD05E5" w:rsidRPr="00626E7F" w:rsidRDefault="00BD05E5" w:rsidP="00BD05E5">
      <w:pPr>
        <w:pStyle w:val="Indent1"/>
        <w:numPr>
          <w:ilvl w:val="0"/>
          <w:numId w:val="16"/>
        </w:numPr>
        <w:tabs>
          <w:tab w:val="clear" w:pos="720"/>
        </w:tabs>
        <w:ind w:left="1080"/>
        <w:rPr>
          <w:rFonts w:ascii="Poppins" w:hAnsi="Poppins" w:cs="Poppins"/>
          <w:spacing w:val="-2"/>
          <w:sz w:val="20"/>
          <w:lang w:val="en-NZ"/>
        </w:rPr>
      </w:pPr>
      <w:r w:rsidRPr="00626E7F">
        <w:rPr>
          <w:rFonts w:ascii="Poppins" w:hAnsi="Poppins" w:cs="Poppins"/>
          <w:spacing w:val="-2"/>
          <w:sz w:val="20"/>
          <w:lang w:val="en-NZ"/>
        </w:rPr>
        <w:t>The storage and disposal of hazardous substances at the facility;</w:t>
      </w:r>
    </w:p>
    <w:p w14:paraId="5910A5AA" w14:textId="77777777" w:rsidR="00BD05E5" w:rsidRPr="00626E7F" w:rsidRDefault="00BD05E5" w:rsidP="00BD05E5">
      <w:pPr>
        <w:pStyle w:val="Indent1"/>
        <w:numPr>
          <w:ilvl w:val="0"/>
          <w:numId w:val="16"/>
        </w:numPr>
        <w:tabs>
          <w:tab w:val="clear" w:pos="720"/>
        </w:tabs>
        <w:ind w:left="1080"/>
        <w:rPr>
          <w:rFonts w:ascii="Poppins" w:hAnsi="Poppins" w:cs="Poppins"/>
          <w:spacing w:val="-2"/>
          <w:sz w:val="20"/>
          <w:lang w:val="en-NZ"/>
        </w:rPr>
      </w:pPr>
      <w:r w:rsidRPr="00626E7F">
        <w:rPr>
          <w:rFonts w:ascii="Poppins" w:hAnsi="Poppins" w:cs="Poppins"/>
          <w:spacing w:val="-2"/>
          <w:sz w:val="20"/>
          <w:lang w:val="en-NZ"/>
        </w:rPr>
        <w:t>Effluent collection, disposal and treatment systems, including the method and rate of effluent application, extent of effluent distribution, and rate of nutrient loading;</w:t>
      </w:r>
    </w:p>
    <w:p w14:paraId="6EB05321" w14:textId="77777777" w:rsidR="00BD05E5" w:rsidRPr="00626E7F" w:rsidRDefault="00BD05E5" w:rsidP="00BD05E5">
      <w:pPr>
        <w:pStyle w:val="Indent1"/>
        <w:numPr>
          <w:ilvl w:val="0"/>
          <w:numId w:val="16"/>
        </w:numPr>
        <w:tabs>
          <w:tab w:val="clear" w:pos="720"/>
        </w:tabs>
        <w:ind w:left="1080"/>
        <w:rPr>
          <w:rFonts w:ascii="Poppins" w:hAnsi="Poppins" w:cs="Poppins"/>
          <w:spacing w:val="-2"/>
          <w:sz w:val="20"/>
          <w:lang w:val="en-NZ"/>
        </w:rPr>
      </w:pPr>
      <w:r w:rsidRPr="00626E7F">
        <w:rPr>
          <w:rFonts w:ascii="Poppins" w:hAnsi="Poppins" w:cs="Poppins"/>
          <w:spacing w:val="-2"/>
          <w:sz w:val="20"/>
          <w:lang w:val="en-NZ"/>
        </w:rPr>
        <w:t>Provisions for desludging the system and applying sludge to land;</w:t>
      </w:r>
    </w:p>
    <w:p w14:paraId="7D721A29" w14:textId="77777777" w:rsidR="00BD05E5" w:rsidRPr="00626E7F" w:rsidRDefault="00BD05E5" w:rsidP="00BD05E5">
      <w:pPr>
        <w:pStyle w:val="Indent1"/>
        <w:numPr>
          <w:ilvl w:val="0"/>
          <w:numId w:val="16"/>
        </w:numPr>
        <w:tabs>
          <w:tab w:val="clear" w:pos="720"/>
        </w:tabs>
        <w:ind w:left="1080"/>
        <w:rPr>
          <w:rFonts w:ascii="Poppins" w:hAnsi="Poppins" w:cs="Poppins"/>
          <w:spacing w:val="-2"/>
          <w:sz w:val="20"/>
          <w:lang w:val="en-NZ"/>
        </w:rPr>
      </w:pPr>
      <w:r w:rsidRPr="00626E7F">
        <w:rPr>
          <w:rFonts w:ascii="Poppins" w:hAnsi="Poppins" w:cs="Poppins"/>
          <w:spacing w:val="-2"/>
          <w:sz w:val="20"/>
          <w:lang w:val="en-NZ"/>
        </w:rPr>
        <w:t>Size and construction of treatment and storage facilities;</w:t>
      </w:r>
    </w:p>
    <w:p w14:paraId="1D629CCB" w14:textId="77777777" w:rsidR="00BD05E5" w:rsidRPr="00626E7F" w:rsidRDefault="00BD05E5" w:rsidP="00BD05E5">
      <w:pPr>
        <w:pStyle w:val="Indent1"/>
        <w:numPr>
          <w:ilvl w:val="0"/>
          <w:numId w:val="16"/>
        </w:numPr>
        <w:tabs>
          <w:tab w:val="clear" w:pos="720"/>
        </w:tabs>
        <w:ind w:left="1080"/>
        <w:rPr>
          <w:rFonts w:ascii="Poppins" w:hAnsi="Poppins" w:cs="Poppins"/>
          <w:spacing w:val="-2"/>
          <w:sz w:val="20"/>
          <w:lang w:val="en-NZ"/>
        </w:rPr>
      </w:pPr>
      <w:r w:rsidRPr="00626E7F">
        <w:rPr>
          <w:rFonts w:ascii="Poppins" w:hAnsi="Poppins" w:cs="Poppins"/>
          <w:spacing w:val="-2"/>
          <w:sz w:val="20"/>
          <w:lang w:val="en-NZ"/>
        </w:rPr>
        <w:t>Identification of potential hazards and exposure pathways and the acceptability of any risks to the environment;</w:t>
      </w:r>
    </w:p>
    <w:p w14:paraId="6B25E1FF" w14:textId="77777777" w:rsidR="00BD05E5" w:rsidRPr="00626E7F" w:rsidRDefault="00BD05E5" w:rsidP="00BD05E5">
      <w:pPr>
        <w:pStyle w:val="Indent1"/>
        <w:numPr>
          <w:ilvl w:val="0"/>
          <w:numId w:val="16"/>
        </w:numPr>
        <w:tabs>
          <w:tab w:val="clear" w:pos="720"/>
        </w:tabs>
        <w:ind w:left="1080"/>
        <w:rPr>
          <w:rFonts w:ascii="Poppins" w:hAnsi="Poppins" w:cs="Poppins"/>
          <w:spacing w:val="-2"/>
          <w:sz w:val="20"/>
          <w:lang w:val="en-NZ"/>
        </w:rPr>
      </w:pPr>
      <w:r w:rsidRPr="00626E7F">
        <w:rPr>
          <w:rFonts w:ascii="Poppins" w:hAnsi="Poppins" w:cs="Poppins"/>
          <w:spacing w:val="-2"/>
          <w:sz w:val="20"/>
          <w:lang w:val="en-NZ"/>
        </w:rPr>
        <w:t>The characteristics, source, composition and volume of wastes being discharged and of any likely by-products occurring from the degradation of these wastes;</w:t>
      </w:r>
    </w:p>
    <w:p w14:paraId="275BF411" w14:textId="77777777" w:rsidR="00BD05E5" w:rsidRPr="00626E7F" w:rsidRDefault="00BD05E5" w:rsidP="00BD05E5">
      <w:pPr>
        <w:pStyle w:val="Indent1"/>
        <w:numPr>
          <w:ilvl w:val="0"/>
          <w:numId w:val="16"/>
        </w:numPr>
        <w:tabs>
          <w:tab w:val="clear" w:pos="720"/>
        </w:tabs>
        <w:ind w:left="1080"/>
        <w:rPr>
          <w:rFonts w:ascii="Poppins" w:hAnsi="Poppins" w:cs="Poppins"/>
          <w:spacing w:val="-2"/>
          <w:sz w:val="20"/>
          <w:lang w:val="en-NZ"/>
        </w:rPr>
      </w:pPr>
      <w:r w:rsidRPr="00626E7F">
        <w:rPr>
          <w:rFonts w:ascii="Poppins" w:hAnsi="Poppins" w:cs="Poppins"/>
          <w:spacing w:val="-2"/>
          <w:sz w:val="20"/>
          <w:lang w:val="en-NZ"/>
        </w:rPr>
        <w:t>Method and timing of discharge in relation to weather conditions.</w:t>
      </w:r>
    </w:p>
    <w:p w14:paraId="2B2199C2" w14:textId="77777777" w:rsidR="00E30628" w:rsidRPr="005231CD" w:rsidRDefault="00E30628">
      <w:pPr>
        <w:rPr>
          <w:rFonts w:ascii="Poppins" w:hAnsi="Poppins" w:cs="Poppins"/>
        </w:rPr>
      </w:pPr>
    </w:p>
    <w:sectPr w:rsidR="00E30628" w:rsidRPr="005231CD">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B3478D" w14:textId="77777777" w:rsidR="00CF740A" w:rsidRDefault="00CF740A" w:rsidP="005231CD">
      <w:r>
        <w:separator/>
      </w:r>
    </w:p>
  </w:endnote>
  <w:endnote w:type="continuationSeparator" w:id="0">
    <w:p w14:paraId="326481AE" w14:textId="77777777" w:rsidR="00CF740A" w:rsidRDefault="00CF740A" w:rsidP="005231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Poppins">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E7E4FE" w14:textId="77777777" w:rsidR="00CF740A" w:rsidRDefault="00CF740A" w:rsidP="005231CD">
      <w:r>
        <w:separator/>
      </w:r>
    </w:p>
  </w:footnote>
  <w:footnote w:type="continuationSeparator" w:id="0">
    <w:p w14:paraId="396FE7AC" w14:textId="77777777" w:rsidR="00CF740A" w:rsidRDefault="00CF740A" w:rsidP="005231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5A3C2" w14:textId="028E0CEF" w:rsidR="00626E7F" w:rsidRDefault="00626E7F">
    <w:pPr>
      <w:pStyle w:val="Header"/>
    </w:pPr>
    <w:r w:rsidRPr="002E2085">
      <w:rPr>
        <w:noProof/>
        <w:sz w:val="28"/>
        <w:szCs w:val="28"/>
      </w:rPr>
      <w:drawing>
        <wp:anchor distT="0" distB="0" distL="114300" distR="114300" simplePos="0" relativeHeight="251661312" behindDoc="1" locked="0" layoutInCell="1" allowOverlap="1" wp14:anchorId="7895DDFD" wp14:editId="21B76B11">
          <wp:simplePos x="0" y="0"/>
          <wp:positionH relativeFrom="page">
            <wp:posOffset>4981575</wp:posOffset>
          </wp:positionH>
          <wp:positionV relativeFrom="paragraph">
            <wp:posOffset>-325755</wp:posOffset>
          </wp:positionV>
          <wp:extent cx="2374265" cy="579755"/>
          <wp:effectExtent l="0" t="0" r="6985" b="0"/>
          <wp:wrapTight wrapText="bothSides">
            <wp:wrapPolygon edited="0">
              <wp:start x="0" y="0"/>
              <wp:lineTo x="0" y="20583"/>
              <wp:lineTo x="21490" y="20583"/>
              <wp:lineTo x="21490" y="0"/>
              <wp:lineTo x="0" y="0"/>
            </wp:wrapPolygon>
          </wp:wrapTight>
          <wp:docPr id="906103199" name="Picture 1" descr="A blu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528767" name="Picture 1" descr="A blue sign with white text&#10;&#10;Description automatically generated"/>
                  <pic:cNvPicPr/>
                </pic:nvPicPr>
                <pic:blipFill rotWithShape="1">
                  <a:blip r:embed="rId1" cstate="print">
                    <a:extLst>
                      <a:ext uri="{28A0092B-C50C-407E-A947-70E740481C1C}">
                        <a14:useLocalDpi xmlns:a14="http://schemas.microsoft.com/office/drawing/2010/main" val="0"/>
                      </a:ext>
                    </a:extLst>
                  </a:blip>
                  <a:srcRect l="1244" t="10984" b="-1"/>
                  <a:stretch/>
                </pic:blipFill>
                <pic:spPr bwMode="auto">
                  <a:xfrm>
                    <a:off x="0" y="0"/>
                    <a:ext cx="2374265" cy="5797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A78A4">
      <w:rPr>
        <w:rFonts w:ascii="Arial" w:eastAsia="Arial" w:hAnsi="Arial" w:cs="Arial"/>
        <w:noProof/>
      </w:rPr>
      <mc:AlternateContent>
        <mc:Choice Requires="wps">
          <w:drawing>
            <wp:anchor distT="0" distB="0" distL="114300" distR="114300" simplePos="0" relativeHeight="251659264" behindDoc="0" locked="0" layoutInCell="1" allowOverlap="1" wp14:anchorId="61C755ED" wp14:editId="26B9A281">
              <wp:simplePos x="0" y="0"/>
              <wp:positionH relativeFrom="column">
                <wp:posOffset>-695325</wp:posOffset>
              </wp:positionH>
              <wp:positionV relativeFrom="paragraph">
                <wp:posOffset>-306705</wp:posOffset>
              </wp:positionV>
              <wp:extent cx="3800475" cy="295275"/>
              <wp:effectExtent l="0" t="0" r="0" b="0"/>
              <wp:wrapNone/>
              <wp:docPr id="78" name="Rectangle 1"/>
              <wp:cNvGraphicFramePr/>
              <a:graphic xmlns:a="http://schemas.openxmlformats.org/drawingml/2006/main">
                <a:graphicData uri="http://schemas.microsoft.com/office/word/2010/wordprocessingShape">
                  <wps:wsp>
                    <wps:cNvSpPr/>
                    <wps:spPr>
                      <a:xfrm>
                        <a:off x="0" y="0"/>
                        <a:ext cx="3800475" cy="295275"/>
                      </a:xfrm>
                      <a:prstGeom prst="rect">
                        <a:avLst/>
                      </a:prstGeom>
                      <a:ln>
                        <a:noFill/>
                      </a:ln>
                    </wps:spPr>
                    <wps:txbx>
                      <w:txbxContent>
                        <w:p w14:paraId="75DAA855" w14:textId="6AF2EBF5" w:rsidR="00626E7F" w:rsidRPr="00994599" w:rsidRDefault="00626E7F" w:rsidP="00626E7F">
                          <w:pPr>
                            <w:rPr>
                              <w:rFonts w:ascii="Poppins" w:hAnsi="Poppins" w:cs="Poppins"/>
                            </w:rPr>
                          </w:pPr>
                          <w:r w:rsidRPr="00994599">
                            <w:rPr>
                              <w:rFonts w:ascii="Poppins" w:hAnsi="Poppins" w:cs="Poppins"/>
                              <w:color w:val="FFFFFF"/>
                              <w:sz w:val="16"/>
                            </w:rPr>
                            <w:t>R E S O U R C E   C O N S E N T S</w:t>
                          </w:r>
                          <w:r>
                            <w:rPr>
                              <w:rFonts w:ascii="Poppins" w:hAnsi="Poppins" w:cs="Poppins"/>
                              <w:color w:val="FFFFFF"/>
                              <w:sz w:val="16"/>
                            </w:rPr>
                            <w:t xml:space="preserve"> – Land and Water Plan</w:t>
                          </w:r>
                          <w:r w:rsidR="00AB34C1">
                            <w:rPr>
                              <w:rFonts w:ascii="Poppins" w:hAnsi="Poppins" w:cs="Poppins"/>
                              <w:color w:val="FFFFFF"/>
                              <w:sz w:val="16"/>
                            </w:rPr>
                            <w:t xml:space="preserve"> – S15</w:t>
                          </w: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61C755ED" id="Rectangle 1" o:spid="_x0000_s1026" style="position:absolute;margin-left:-54.75pt;margin-top:-24.15pt;width:299.25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" filled="f" stroked="f">
              <v:textbox inset="0,0,0,0">
                <w:txbxContent>
                  <w:p w14:paraId="75DAA855" w14:textId="6AF2EBF5" w:rsidR="00626E7F" w:rsidRPr="00994599" w:rsidRDefault="00626E7F" w:rsidP="00626E7F">
                    <w:pPr>
                      <w:rPr>
                        <w:rFonts w:ascii="Poppins" w:hAnsi="Poppins" w:cs="Poppins"/>
                      </w:rPr>
                    </w:pPr>
                    <w:r w:rsidRPr="00994599">
                      <w:rPr>
                        <w:rFonts w:ascii="Poppins" w:hAnsi="Poppins" w:cs="Poppins"/>
                        <w:color w:val="FFFFFF"/>
                        <w:sz w:val="16"/>
                      </w:rPr>
                      <w:t>R E S O U R C E   C O N S E N T S</w:t>
                    </w:r>
                    <w:r>
                      <w:rPr>
                        <w:rFonts w:ascii="Poppins" w:hAnsi="Poppins" w:cs="Poppins"/>
                        <w:color w:val="FFFFFF"/>
                        <w:sz w:val="16"/>
                      </w:rPr>
                      <w:t xml:space="preserve"> – Land and Water Plan</w:t>
                    </w:r>
                    <w:r w:rsidR="00AB34C1">
                      <w:rPr>
                        <w:rFonts w:ascii="Poppins" w:hAnsi="Poppins" w:cs="Poppins"/>
                        <w:color w:val="FFFFFF"/>
                        <w:sz w:val="16"/>
                      </w:rPr>
                      <w:t xml:space="preserve"> – S15</w:t>
                    </w:r>
                  </w:p>
                </w:txbxContent>
              </v:textbox>
            </v:rect>
          </w:pict>
        </mc:Fallback>
      </mc:AlternateContent>
    </w:r>
    <w:r w:rsidRPr="005754D3">
      <w:rPr>
        <w:rFonts w:ascii="Calibri Light" w:hAnsi="Calibri Light" w:cs="Calibri Light"/>
        <w:noProof/>
        <w:sz w:val="28"/>
        <w:szCs w:val="28"/>
      </w:rPr>
      <w:drawing>
        <wp:anchor distT="0" distB="0" distL="114300" distR="114300" simplePos="0" relativeHeight="251660288" behindDoc="1" locked="0" layoutInCell="1" allowOverlap="1" wp14:anchorId="044089F3" wp14:editId="4F5B650A">
          <wp:simplePos x="0" y="0"/>
          <wp:positionH relativeFrom="page">
            <wp:posOffset>19050</wp:posOffset>
          </wp:positionH>
          <wp:positionV relativeFrom="paragraph">
            <wp:posOffset>-438150</wp:posOffset>
          </wp:positionV>
          <wp:extent cx="7734300" cy="885190"/>
          <wp:effectExtent l="19050" t="19050" r="19050" b="10160"/>
          <wp:wrapNone/>
          <wp:docPr id="8484626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337646" name=""/>
                  <pic:cNvPicPr/>
                </pic:nvPicPr>
                <pic:blipFill rotWithShape="1">
                  <a:blip r:embed="rId2">
                    <a:extLst>
                      <a:ext uri="{28A0092B-C50C-407E-A947-70E740481C1C}">
                        <a14:useLocalDpi xmlns:a14="http://schemas.microsoft.com/office/drawing/2010/main" val="0"/>
                      </a:ext>
                    </a:extLst>
                  </a:blip>
                  <a:srcRect/>
                  <a:stretch/>
                </pic:blipFill>
                <pic:spPr bwMode="auto">
                  <a:xfrm>
                    <a:off x="0" y="0"/>
                    <a:ext cx="7734300" cy="885190"/>
                  </a:xfrm>
                  <a:prstGeom prst="rect">
                    <a:avLst/>
                  </a:prstGeom>
                  <a:solidFill>
                    <a:srgbClr val="156082"/>
                  </a:solidFill>
                  <a:ln>
                    <a:solidFill>
                      <a:srgbClr val="156082"/>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63A91"/>
    <w:multiLevelType w:val="singleLevel"/>
    <w:tmpl w:val="C94841F2"/>
    <w:lvl w:ilvl="0">
      <w:start w:val="1"/>
      <w:numFmt w:val="decimal"/>
      <w:lvlText w:val="%1."/>
      <w:lvlJc w:val="left"/>
      <w:pPr>
        <w:tabs>
          <w:tab w:val="num" w:pos="390"/>
        </w:tabs>
        <w:ind w:left="390" w:hanging="390"/>
      </w:pPr>
      <w:rPr>
        <w:rFonts w:hint="default"/>
      </w:rPr>
    </w:lvl>
  </w:abstractNum>
  <w:abstractNum w:abstractNumId="1" w15:restartNumberingAfterBreak="0">
    <w:nsid w:val="0DD844FF"/>
    <w:multiLevelType w:val="singleLevel"/>
    <w:tmpl w:val="04090019"/>
    <w:lvl w:ilvl="0">
      <w:start w:val="1"/>
      <w:numFmt w:val="lowerLetter"/>
      <w:lvlText w:val="(%1)"/>
      <w:lvlJc w:val="left"/>
      <w:pPr>
        <w:tabs>
          <w:tab w:val="num" w:pos="360"/>
        </w:tabs>
        <w:ind w:left="360" w:hanging="360"/>
      </w:pPr>
    </w:lvl>
  </w:abstractNum>
  <w:abstractNum w:abstractNumId="2" w15:restartNumberingAfterBreak="0">
    <w:nsid w:val="12713F82"/>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12A32EC8"/>
    <w:multiLevelType w:val="singleLevel"/>
    <w:tmpl w:val="79F08A84"/>
    <w:lvl w:ilvl="0">
      <w:start w:val="4"/>
      <w:numFmt w:val="decimal"/>
      <w:lvlText w:val="%1."/>
      <w:lvlJc w:val="left"/>
      <w:pPr>
        <w:tabs>
          <w:tab w:val="num" w:pos="2296"/>
        </w:tabs>
        <w:ind w:left="2296" w:hanging="567"/>
      </w:pPr>
    </w:lvl>
  </w:abstractNum>
  <w:abstractNum w:abstractNumId="4" w15:restartNumberingAfterBreak="0">
    <w:nsid w:val="16225565"/>
    <w:multiLevelType w:val="hybridMultilevel"/>
    <w:tmpl w:val="AA76FA9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2C802CB"/>
    <w:multiLevelType w:val="singleLevel"/>
    <w:tmpl w:val="04090019"/>
    <w:lvl w:ilvl="0">
      <w:start w:val="1"/>
      <w:numFmt w:val="lowerLetter"/>
      <w:lvlText w:val="(%1)"/>
      <w:lvlJc w:val="left"/>
      <w:pPr>
        <w:tabs>
          <w:tab w:val="num" w:pos="360"/>
        </w:tabs>
        <w:ind w:left="360" w:hanging="360"/>
      </w:pPr>
    </w:lvl>
  </w:abstractNum>
  <w:abstractNum w:abstractNumId="6" w15:restartNumberingAfterBreak="0">
    <w:nsid w:val="284B707A"/>
    <w:multiLevelType w:val="singleLevel"/>
    <w:tmpl w:val="04090019"/>
    <w:lvl w:ilvl="0">
      <w:start w:val="1"/>
      <w:numFmt w:val="lowerLetter"/>
      <w:lvlText w:val="(%1)"/>
      <w:lvlJc w:val="left"/>
      <w:pPr>
        <w:tabs>
          <w:tab w:val="num" w:pos="360"/>
        </w:tabs>
        <w:ind w:left="360" w:hanging="360"/>
      </w:pPr>
    </w:lvl>
  </w:abstractNum>
  <w:abstractNum w:abstractNumId="7" w15:restartNumberingAfterBreak="0">
    <w:nsid w:val="29822592"/>
    <w:multiLevelType w:val="hybridMultilevel"/>
    <w:tmpl w:val="5BF64A9E"/>
    <w:lvl w:ilvl="0" w:tplc="FFFFFFFF">
      <w:start w:val="1"/>
      <w:numFmt w:val="decimal"/>
      <w:lvlText w:val="%1."/>
      <w:legacy w:legacy="1" w:legacySpace="0" w:legacyIndent="283"/>
      <w:lvlJc w:val="left"/>
      <w:pPr>
        <w:ind w:left="2012" w:hanging="283"/>
      </w:pPr>
    </w:lvl>
    <w:lvl w:ilvl="1" w:tplc="FFFFFFFF">
      <w:start w:val="1"/>
      <w:numFmt w:val="lowerLetter"/>
      <w:lvlText w:val="(%2)"/>
      <w:lvlJc w:val="left"/>
      <w:pPr>
        <w:tabs>
          <w:tab w:val="num" w:pos="1980"/>
        </w:tabs>
        <w:ind w:left="1980" w:hanging="90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A082806"/>
    <w:multiLevelType w:val="singleLevel"/>
    <w:tmpl w:val="1E02A1CC"/>
    <w:lvl w:ilvl="0">
      <w:start w:val="1"/>
      <w:numFmt w:val="lowerLetter"/>
      <w:lvlText w:val="%1)"/>
      <w:legacy w:legacy="1" w:legacySpace="0" w:legacyIndent="360"/>
      <w:lvlJc w:val="left"/>
      <w:pPr>
        <w:ind w:left="720" w:hanging="360"/>
      </w:pPr>
    </w:lvl>
  </w:abstractNum>
  <w:abstractNum w:abstractNumId="9" w15:restartNumberingAfterBreak="0">
    <w:nsid w:val="2A540414"/>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37BF6086"/>
    <w:multiLevelType w:val="hybridMultilevel"/>
    <w:tmpl w:val="0122BFA8"/>
    <w:lvl w:ilvl="0" w:tplc="04090005">
      <w:start w:val="1"/>
      <w:numFmt w:val="bullet"/>
      <w:lvlText w:val=""/>
      <w:lvlJc w:val="left"/>
      <w:pPr>
        <w:tabs>
          <w:tab w:val="num" w:pos="1080"/>
        </w:tabs>
        <w:ind w:left="1080" w:hanging="360"/>
      </w:pPr>
      <w:rPr>
        <w:rFonts w:ascii="Wingdings" w:hAnsi="Wingdings" w:hint="default"/>
      </w:rPr>
    </w:lvl>
    <w:lvl w:ilvl="1" w:tplc="0EBCAC9E">
      <w:start w:val="1"/>
      <w:numFmt w:val="decimal"/>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1" w15:restartNumberingAfterBreak="0">
    <w:nsid w:val="46FB50FB"/>
    <w:multiLevelType w:val="singleLevel"/>
    <w:tmpl w:val="2CB47A3A"/>
    <w:lvl w:ilvl="0">
      <w:start w:val="2"/>
      <w:numFmt w:val="decimal"/>
      <w:lvlText w:val="%1."/>
      <w:lvlJc w:val="left"/>
      <w:pPr>
        <w:tabs>
          <w:tab w:val="num" w:pos="425"/>
        </w:tabs>
        <w:ind w:left="425" w:hanging="425"/>
      </w:pPr>
    </w:lvl>
  </w:abstractNum>
  <w:abstractNum w:abstractNumId="12" w15:restartNumberingAfterBreak="0">
    <w:nsid w:val="4C4A6BD3"/>
    <w:multiLevelType w:val="hybridMultilevel"/>
    <w:tmpl w:val="B73C1B2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6BD3FE6"/>
    <w:multiLevelType w:val="singleLevel"/>
    <w:tmpl w:val="51C44218"/>
    <w:lvl w:ilvl="0">
      <w:start w:val="2"/>
      <w:numFmt w:val="lowerLetter"/>
      <w:lvlText w:val="%1)"/>
      <w:legacy w:legacy="1" w:legacySpace="0" w:legacyIndent="360"/>
      <w:lvlJc w:val="left"/>
      <w:pPr>
        <w:ind w:left="720" w:hanging="360"/>
      </w:pPr>
    </w:lvl>
  </w:abstractNum>
  <w:abstractNum w:abstractNumId="14" w15:restartNumberingAfterBreak="0">
    <w:nsid w:val="68043CC8"/>
    <w:multiLevelType w:val="singleLevel"/>
    <w:tmpl w:val="04090019"/>
    <w:lvl w:ilvl="0">
      <w:start w:val="1"/>
      <w:numFmt w:val="lowerLetter"/>
      <w:lvlText w:val="(%1)"/>
      <w:lvlJc w:val="left"/>
      <w:pPr>
        <w:tabs>
          <w:tab w:val="num" w:pos="360"/>
        </w:tabs>
        <w:ind w:left="360" w:hanging="360"/>
      </w:pPr>
    </w:lvl>
  </w:abstractNum>
  <w:abstractNum w:abstractNumId="15" w15:restartNumberingAfterBreak="0">
    <w:nsid w:val="68B52289"/>
    <w:multiLevelType w:val="singleLevel"/>
    <w:tmpl w:val="04090019"/>
    <w:lvl w:ilvl="0">
      <w:start w:val="1"/>
      <w:numFmt w:val="lowerLetter"/>
      <w:lvlText w:val="(%1)"/>
      <w:lvlJc w:val="left"/>
      <w:pPr>
        <w:tabs>
          <w:tab w:val="num" w:pos="360"/>
        </w:tabs>
        <w:ind w:left="360" w:hanging="360"/>
      </w:pPr>
    </w:lvl>
  </w:abstractNum>
  <w:abstractNum w:abstractNumId="16" w15:restartNumberingAfterBreak="0">
    <w:nsid w:val="6DA05F68"/>
    <w:multiLevelType w:val="hybridMultilevel"/>
    <w:tmpl w:val="0122BFA8"/>
    <w:lvl w:ilvl="0" w:tplc="43DCC08C">
      <w:start w:val="1"/>
      <w:numFmt w:val="lowerRoman"/>
      <w:lvlText w:val="(%1)"/>
      <w:lvlJc w:val="left"/>
      <w:pPr>
        <w:tabs>
          <w:tab w:val="num" w:pos="1800"/>
        </w:tabs>
        <w:ind w:left="1440" w:hanging="360"/>
      </w:pPr>
      <w:rPr>
        <w:rFonts w:hint="default"/>
      </w:rPr>
    </w:lvl>
    <w:lvl w:ilvl="1" w:tplc="0EBCAC9E">
      <w:start w:val="1"/>
      <w:numFmt w:val="decimal"/>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16cid:durableId="328293375">
    <w:abstractNumId w:val="7"/>
  </w:num>
  <w:num w:numId="2" w16cid:durableId="2130973221">
    <w:abstractNumId w:val="0"/>
  </w:num>
  <w:num w:numId="3" w16cid:durableId="1093477689">
    <w:abstractNumId w:val="8"/>
  </w:num>
  <w:num w:numId="4" w16cid:durableId="1205601589">
    <w:abstractNumId w:val="13"/>
  </w:num>
  <w:num w:numId="5" w16cid:durableId="1781947242">
    <w:abstractNumId w:val="2"/>
  </w:num>
  <w:num w:numId="6" w16cid:durableId="970747988">
    <w:abstractNumId w:val="4"/>
  </w:num>
  <w:num w:numId="7" w16cid:durableId="248467685">
    <w:abstractNumId w:val="16"/>
  </w:num>
  <w:num w:numId="8" w16cid:durableId="861437175">
    <w:abstractNumId w:val="5"/>
  </w:num>
  <w:num w:numId="9" w16cid:durableId="1628778647">
    <w:abstractNumId w:val="11"/>
  </w:num>
  <w:num w:numId="10" w16cid:durableId="1146166616">
    <w:abstractNumId w:val="14"/>
  </w:num>
  <w:num w:numId="11" w16cid:durableId="2094551155">
    <w:abstractNumId w:val="3"/>
  </w:num>
  <w:num w:numId="12" w16cid:durableId="53699039">
    <w:abstractNumId w:val="15"/>
  </w:num>
  <w:num w:numId="13" w16cid:durableId="72095518">
    <w:abstractNumId w:val="1"/>
  </w:num>
  <w:num w:numId="14" w16cid:durableId="2084788842">
    <w:abstractNumId w:val="6"/>
  </w:num>
  <w:num w:numId="15" w16cid:durableId="1331327551">
    <w:abstractNumId w:val="9"/>
  </w:num>
  <w:num w:numId="16" w16cid:durableId="931471872">
    <w:abstractNumId w:val="12"/>
  </w:num>
  <w:num w:numId="17" w16cid:durableId="169522560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5E5"/>
    <w:rsid w:val="004E157F"/>
    <w:rsid w:val="005231CD"/>
    <w:rsid w:val="005E027B"/>
    <w:rsid w:val="00626E7F"/>
    <w:rsid w:val="00681383"/>
    <w:rsid w:val="007F5186"/>
    <w:rsid w:val="008317D2"/>
    <w:rsid w:val="00874618"/>
    <w:rsid w:val="008A2E6F"/>
    <w:rsid w:val="008B2A88"/>
    <w:rsid w:val="009E4E17"/>
    <w:rsid w:val="00A01EEB"/>
    <w:rsid w:val="00A25BE5"/>
    <w:rsid w:val="00AA30DB"/>
    <w:rsid w:val="00AB34C1"/>
    <w:rsid w:val="00BD05E5"/>
    <w:rsid w:val="00C555FD"/>
    <w:rsid w:val="00CF740A"/>
    <w:rsid w:val="00D22B4F"/>
    <w:rsid w:val="00E30628"/>
    <w:rsid w:val="00ED2AD3"/>
    <w:rsid w:val="00EE7C4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14A84F"/>
  <w15:chartTrackingRefBased/>
  <w15:docId w15:val="{3D49AE9C-3A49-4F78-9A23-D80071D10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05E5"/>
    <w:pPr>
      <w:spacing w:after="0" w:line="240" w:lineRule="auto"/>
    </w:pPr>
    <w:rPr>
      <w:rFonts w:ascii="Times New Roman" w:eastAsia="Times New Roman" w:hAnsi="Times New Roman" w:cs="Times New Roman"/>
      <w:kern w:val="0"/>
      <w:sz w:val="24"/>
      <w:szCs w:val="24"/>
      <w:lang w:val="en-AU"/>
      <w14:ligatures w14:val="none"/>
    </w:rPr>
  </w:style>
  <w:style w:type="paragraph" w:styleId="Heading1">
    <w:name w:val="heading 1"/>
    <w:basedOn w:val="Normal"/>
    <w:next w:val="Normal"/>
    <w:link w:val="Heading1Char"/>
    <w:uiPriority w:val="9"/>
    <w:qFormat/>
    <w:rsid w:val="00BD05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BD05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BD05E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D05E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D05E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D05E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D05E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05E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05E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05E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BD05E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BD05E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D05E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D05E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D05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05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05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05E5"/>
    <w:rPr>
      <w:rFonts w:eastAsiaTheme="majorEastAsia" w:cstheme="majorBidi"/>
      <w:color w:val="272727" w:themeColor="text1" w:themeTint="D8"/>
    </w:rPr>
  </w:style>
  <w:style w:type="paragraph" w:styleId="Title">
    <w:name w:val="Title"/>
    <w:basedOn w:val="Normal"/>
    <w:next w:val="Normal"/>
    <w:link w:val="TitleChar"/>
    <w:uiPriority w:val="10"/>
    <w:qFormat/>
    <w:rsid w:val="00BD05E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05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05E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05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05E5"/>
    <w:pPr>
      <w:spacing w:before="160"/>
      <w:jc w:val="center"/>
    </w:pPr>
    <w:rPr>
      <w:i/>
      <w:iCs/>
      <w:color w:val="404040" w:themeColor="text1" w:themeTint="BF"/>
    </w:rPr>
  </w:style>
  <w:style w:type="character" w:customStyle="1" w:styleId="QuoteChar">
    <w:name w:val="Quote Char"/>
    <w:basedOn w:val="DefaultParagraphFont"/>
    <w:link w:val="Quote"/>
    <w:uiPriority w:val="29"/>
    <w:rsid w:val="00BD05E5"/>
    <w:rPr>
      <w:i/>
      <w:iCs/>
      <w:color w:val="404040" w:themeColor="text1" w:themeTint="BF"/>
    </w:rPr>
  </w:style>
  <w:style w:type="paragraph" w:styleId="ListParagraph">
    <w:name w:val="List Paragraph"/>
    <w:basedOn w:val="Normal"/>
    <w:uiPriority w:val="34"/>
    <w:qFormat/>
    <w:rsid w:val="00BD05E5"/>
    <w:pPr>
      <w:ind w:left="720"/>
      <w:contextualSpacing/>
    </w:pPr>
  </w:style>
  <w:style w:type="character" w:styleId="IntenseEmphasis">
    <w:name w:val="Intense Emphasis"/>
    <w:basedOn w:val="DefaultParagraphFont"/>
    <w:uiPriority w:val="21"/>
    <w:qFormat/>
    <w:rsid w:val="00BD05E5"/>
    <w:rPr>
      <w:i/>
      <w:iCs/>
      <w:color w:val="0F4761" w:themeColor="accent1" w:themeShade="BF"/>
    </w:rPr>
  </w:style>
  <w:style w:type="paragraph" w:styleId="IntenseQuote">
    <w:name w:val="Intense Quote"/>
    <w:basedOn w:val="Normal"/>
    <w:next w:val="Normal"/>
    <w:link w:val="IntenseQuoteChar"/>
    <w:uiPriority w:val="30"/>
    <w:qFormat/>
    <w:rsid w:val="00BD05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D05E5"/>
    <w:rPr>
      <w:i/>
      <w:iCs/>
      <w:color w:val="0F4761" w:themeColor="accent1" w:themeShade="BF"/>
    </w:rPr>
  </w:style>
  <w:style w:type="character" w:styleId="IntenseReference">
    <w:name w:val="Intense Reference"/>
    <w:basedOn w:val="DefaultParagraphFont"/>
    <w:uiPriority w:val="32"/>
    <w:qFormat/>
    <w:rsid w:val="00BD05E5"/>
    <w:rPr>
      <w:b/>
      <w:bCs/>
      <w:smallCaps/>
      <w:color w:val="0F4761" w:themeColor="accent1" w:themeShade="BF"/>
      <w:spacing w:val="5"/>
    </w:rPr>
  </w:style>
  <w:style w:type="paragraph" w:customStyle="1" w:styleId="Indent3">
    <w:name w:val="Indent 3"/>
    <w:basedOn w:val="Heading3"/>
    <w:rsid w:val="00BD05E5"/>
    <w:pPr>
      <w:keepNext w:val="0"/>
      <w:keepLines w:val="0"/>
      <w:spacing w:before="0" w:after="0"/>
      <w:ind w:left="1729"/>
      <w:jc w:val="both"/>
      <w:outlineLvl w:val="9"/>
    </w:pPr>
    <w:rPr>
      <w:rFonts w:ascii="Tahoma" w:eastAsia="Times New Roman" w:hAnsi="Tahoma" w:cs="Times New Roman"/>
      <w:color w:val="auto"/>
      <w:sz w:val="20"/>
      <w:szCs w:val="20"/>
    </w:rPr>
  </w:style>
  <w:style w:type="paragraph" w:customStyle="1" w:styleId="Indent2">
    <w:name w:val="Indent 2"/>
    <w:basedOn w:val="Normal"/>
    <w:rsid w:val="00BD05E5"/>
    <w:pPr>
      <w:widowControl w:val="0"/>
      <w:jc w:val="both"/>
    </w:pPr>
    <w:rPr>
      <w:szCs w:val="20"/>
    </w:rPr>
  </w:style>
  <w:style w:type="paragraph" w:styleId="BodyText">
    <w:name w:val="Body Text"/>
    <w:basedOn w:val="Normal"/>
    <w:link w:val="BodyTextChar1"/>
    <w:rsid w:val="00BD05E5"/>
    <w:pPr>
      <w:jc w:val="both"/>
    </w:pPr>
    <w:rPr>
      <w:rFonts w:ascii="Tahoma" w:hAnsi="Tahoma"/>
      <w:b/>
      <w:bCs/>
      <w:sz w:val="20"/>
      <w:lang w:val="en-US"/>
    </w:rPr>
  </w:style>
  <w:style w:type="character" w:customStyle="1" w:styleId="BodyTextChar">
    <w:name w:val="Body Text Char"/>
    <w:basedOn w:val="DefaultParagraphFont"/>
    <w:uiPriority w:val="99"/>
    <w:semiHidden/>
    <w:rsid w:val="00BD05E5"/>
    <w:rPr>
      <w:rFonts w:ascii="Times New Roman" w:eastAsia="Times New Roman" w:hAnsi="Times New Roman" w:cs="Times New Roman"/>
      <w:kern w:val="0"/>
      <w:sz w:val="24"/>
      <w:szCs w:val="24"/>
      <w:lang w:val="en-AU"/>
      <w14:ligatures w14:val="none"/>
    </w:rPr>
  </w:style>
  <w:style w:type="paragraph" w:customStyle="1" w:styleId="Style1">
    <w:name w:val="Style 1"/>
    <w:basedOn w:val="Normal"/>
    <w:link w:val="Style1Char"/>
    <w:rsid w:val="00BD05E5"/>
    <w:pPr>
      <w:jc w:val="both"/>
    </w:pPr>
    <w:rPr>
      <w:b/>
      <w:szCs w:val="20"/>
    </w:rPr>
  </w:style>
  <w:style w:type="paragraph" w:customStyle="1" w:styleId="Indent1">
    <w:name w:val="Indent 1"/>
    <w:basedOn w:val="Normal"/>
    <w:link w:val="Indent1Char"/>
    <w:rsid w:val="00BD05E5"/>
    <w:pPr>
      <w:jc w:val="both"/>
    </w:pPr>
    <w:rPr>
      <w:szCs w:val="20"/>
    </w:rPr>
  </w:style>
  <w:style w:type="paragraph" w:styleId="BodyTextIndent">
    <w:name w:val="Body Text Indent"/>
    <w:basedOn w:val="Normal"/>
    <w:link w:val="BodyTextIndentChar"/>
    <w:rsid w:val="00BD05E5"/>
    <w:pPr>
      <w:tabs>
        <w:tab w:val="left" w:pos="540"/>
      </w:tabs>
      <w:ind w:left="360" w:hanging="360"/>
    </w:pPr>
  </w:style>
  <w:style w:type="character" w:customStyle="1" w:styleId="BodyTextIndentChar">
    <w:name w:val="Body Text Indent Char"/>
    <w:basedOn w:val="DefaultParagraphFont"/>
    <w:link w:val="BodyTextIndent"/>
    <w:rsid w:val="00BD05E5"/>
    <w:rPr>
      <w:rFonts w:ascii="Times New Roman" w:eastAsia="Times New Roman" w:hAnsi="Times New Roman" w:cs="Times New Roman"/>
      <w:kern w:val="0"/>
      <w:sz w:val="24"/>
      <w:szCs w:val="24"/>
      <w:lang w:val="en-AU"/>
      <w14:ligatures w14:val="none"/>
    </w:rPr>
  </w:style>
  <w:style w:type="character" w:customStyle="1" w:styleId="BodyTextChar1">
    <w:name w:val="Body Text Char1"/>
    <w:link w:val="BodyText"/>
    <w:rsid w:val="00BD05E5"/>
    <w:rPr>
      <w:rFonts w:ascii="Tahoma" w:eastAsia="Times New Roman" w:hAnsi="Tahoma" w:cs="Times New Roman"/>
      <w:b/>
      <w:bCs/>
      <w:kern w:val="0"/>
      <w:sz w:val="20"/>
      <w:szCs w:val="24"/>
      <w:lang w:val="en-US"/>
      <w14:ligatures w14:val="none"/>
    </w:rPr>
  </w:style>
  <w:style w:type="character" w:customStyle="1" w:styleId="Style1Char">
    <w:name w:val="Style 1 Char"/>
    <w:link w:val="Style1"/>
    <w:rsid w:val="00BD05E5"/>
    <w:rPr>
      <w:rFonts w:ascii="Times New Roman" w:eastAsia="Times New Roman" w:hAnsi="Times New Roman" w:cs="Times New Roman"/>
      <w:b/>
      <w:kern w:val="0"/>
      <w:sz w:val="24"/>
      <w:szCs w:val="20"/>
      <w:lang w:val="en-AU"/>
      <w14:ligatures w14:val="none"/>
    </w:rPr>
  </w:style>
  <w:style w:type="character" w:customStyle="1" w:styleId="Indent1Char">
    <w:name w:val="Indent 1 Char"/>
    <w:link w:val="Indent1"/>
    <w:rsid w:val="00BD05E5"/>
    <w:rPr>
      <w:rFonts w:ascii="Times New Roman" w:eastAsia="Times New Roman" w:hAnsi="Times New Roman" w:cs="Times New Roman"/>
      <w:kern w:val="0"/>
      <w:sz w:val="24"/>
      <w:szCs w:val="20"/>
      <w:lang w:val="en-AU"/>
      <w14:ligatures w14:val="none"/>
    </w:rPr>
  </w:style>
  <w:style w:type="paragraph" w:styleId="Header">
    <w:name w:val="header"/>
    <w:basedOn w:val="Normal"/>
    <w:link w:val="HeaderChar"/>
    <w:uiPriority w:val="99"/>
    <w:unhideWhenUsed/>
    <w:rsid w:val="005231CD"/>
    <w:pPr>
      <w:tabs>
        <w:tab w:val="center" w:pos="4513"/>
        <w:tab w:val="right" w:pos="9026"/>
      </w:tabs>
    </w:pPr>
  </w:style>
  <w:style w:type="character" w:customStyle="1" w:styleId="HeaderChar">
    <w:name w:val="Header Char"/>
    <w:basedOn w:val="DefaultParagraphFont"/>
    <w:link w:val="Header"/>
    <w:uiPriority w:val="99"/>
    <w:rsid w:val="005231CD"/>
    <w:rPr>
      <w:rFonts w:ascii="Times New Roman" w:eastAsia="Times New Roman" w:hAnsi="Times New Roman" w:cs="Times New Roman"/>
      <w:kern w:val="0"/>
      <w:sz w:val="24"/>
      <w:szCs w:val="24"/>
      <w:lang w:val="en-AU"/>
      <w14:ligatures w14:val="none"/>
    </w:rPr>
  </w:style>
  <w:style w:type="paragraph" w:styleId="Footer">
    <w:name w:val="footer"/>
    <w:basedOn w:val="Normal"/>
    <w:link w:val="FooterChar"/>
    <w:uiPriority w:val="99"/>
    <w:unhideWhenUsed/>
    <w:rsid w:val="005231CD"/>
    <w:pPr>
      <w:tabs>
        <w:tab w:val="center" w:pos="4513"/>
        <w:tab w:val="right" w:pos="9026"/>
      </w:tabs>
    </w:pPr>
  </w:style>
  <w:style w:type="character" w:customStyle="1" w:styleId="FooterChar">
    <w:name w:val="Footer Char"/>
    <w:basedOn w:val="DefaultParagraphFont"/>
    <w:link w:val="Footer"/>
    <w:uiPriority w:val="99"/>
    <w:rsid w:val="005231CD"/>
    <w:rPr>
      <w:rFonts w:ascii="Times New Roman" w:eastAsia="Times New Roman" w:hAnsi="Times New Roman" w:cs="Times New Roman"/>
      <w:kern w:val="0"/>
      <w:sz w:val="24"/>
      <w:szCs w:val="24"/>
      <w:lang w:val="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713</Words>
  <Characters>4070</Characters>
  <Application>Microsoft Office Word</Application>
  <DocSecurity>0</DocSecurity>
  <Lines>33</Lines>
  <Paragraphs>9</Paragraphs>
  <ScaleCrop>false</ScaleCrop>
  <Company/>
  <LinksUpToDate>false</LinksUpToDate>
  <CharactersWithSpaces>4774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Smith</dc:creator>
  <cp:keywords/>
  <dc:description/>
  <cp:lastModifiedBy>Tin Nguyen</cp:lastModifiedBy>
  <cp:revision>11</cp:revision>
  <dcterms:created xsi:type="dcterms:W3CDTF">2025-10-29T02:39:00Z</dcterms:created>
  <dcterms:modified xsi:type="dcterms:W3CDTF">2026-05-05T21:54:00Z</dcterms:modified>
</cp:coreProperties>
</file>