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24DA6" w14:textId="77777777" w:rsidR="00510501" w:rsidRPr="008B7E1F" w:rsidRDefault="00510501">
      <w:pPr>
        <w:rPr>
          <w:rFonts w:ascii="Poppins" w:hAnsi="Poppins" w:cs="Poppins"/>
          <w:sz w:val="20"/>
          <w:szCs w:val="20"/>
          <w:lang w:val="en-US"/>
        </w:rPr>
      </w:pPr>
    </w:p>
    <w:tbl>
      <w:tblPr>
        <w:tblStyle w:val="TableGrid"/>
        <w:tblW w:w="0" w:type="auto"/>
        <w:tblLook w:val="04A0" w:firstRow="1" w:lastRow="0" w:firstColumn="1" w:lastColumn="0" w:noHBand="0" w:noVBand="1"/>
      </w:tblPr>
      <w:tblGrid>
        <w:gridCol w:w="5433"/>
        <w:gridCol w:w="3917"/>
      </w:tblGrid>
      <w:tr w:rsidR="000F3E46" w:rsidRPr="008B7E1F" w14:paraId="390CB877" w14:textId="77777777" w:rsidTr="001D5549">
        <w:tc>
          <w:tcPr>
            <w:tcW w:w="9350" w:type="dxa"/>
            <w:gridSpan w:val="2"/>
          </w:tcPr>
          <w:p w14:paraId="40F95A5F" w14:textId="77777777" w:rsidR="000F3E46" w:rsidRPr="008B7E1F" w:rsidRDefault="000F3E46" w:rsidP="001D5549">
            <w:pPr>
              <w:jc w:val="center"/>
              <w:rPr>
                <w:rFonts w:ascii="Poppins" w:hAnsi="Poppins" w:cs="Poppins"/>
                <w:b/>
                <w:bCs/>
                <w:sz w:val="20"/>
                <w:szCs w:val="20"/>
              </w:rPr>
            </w:pPr>
            <w:r w:rsidRPr="008B7E1F">
              <w:rPr>
                <w:rFonts w:ascii="Poppins" w:hAnsi="Poppins" w:cs="Poppins"/>
                <w:b/>
                <w:bCs/>
                <w:sz w:val="20"/>
                <w:szCs w:val="20"/>
              </w:rPr>
              <w:t>CHAPTER 9. SPECIAL MANAGEMENT AREA: LAKE BRUNNER/KOTUKU-WHAKAOHO CATCHMENT</w:t>
            </w:r>
          </w:p>
        </w:tc>
      </w:tr>
      <w:tr w:rsidR="000F3E46" w:rsidRPr="008B7E1F" w14:paraId="0EEF0A60" w14:textId="77777777" w:rsidTr="001D5549">
        <w:tc>
          <w:tcPr>
            <w:tcW w:w="5433" w:type="dxa"/>
          </w:tcPr>
          <w:p w14:paraId="380D91C9" w14:textId="77777777" w:rsidR="000F3E46" w:rsidRPr="008B7E1F" w:rsidRDefault="000F3E46" w:rsidP="001D5549">
            <w:pPr>
              <w:jc w:val="center"/>
              <w:rPr>
                <w:rFonts w:ascii="Poppins" w:hAnsi="Poppins" w:cs="Poppins"/>
                <w:b/>
                <w:bCs/>
                <w:sz w:val="20"/>
                <w:szCs w:val="20"/>
              </w:rPr>
            </w:pPr>
            <w:r w:rsidRPr="008B7E1F">
              <w:rPr>
                <w:rFonts w:ascii="Poppins" w:hAnsi="Poppins" w:cs="Poppins"/>
                <w:b/>
                <w:bCs/>
                <w:sz w:val="20"/>
                <w:szCs w:val="20"/>
              </w:rPr>
              <w:t>OBJECTIVES</w:t>
            </w:r>
          </w:p>
        </w:tc>
        <w:tc>
          <w:tcPr>
            <w:tcW w:w="3917" w:type="dxa"/>
          </w:tcPr>
          <w:p w14:paraId="7B9E9CB7" w14:textId="75F1E759" w:rsidR="000F3E46" w:rsidRPr="008B7E1F" w:rsidRDefault="004F1AFC" w:rsidP="001D5549">
            <w:pPr>
              <w:jc w:val="center"/>
              <w:rPr>
                <w:rFonts w:ascii="Poppins" w:hAnsi="Poppins" w:cs="Poppins"/>
                <w:b/>
                <w:bCs/>
                <w:sz w:val="20"/>
                <w:szCs w:val="20"/>
              </w:rPr>
            </w:pPr>
            <w:r>
              <w:rPr>
                <w:rFonts w:ascii="Poppins" w:hAnsi="Poppins" w:cs="Poppins"/>
                <w:b/>
                <w:bCs/>
                <w:sz w:val="20"/>
                <w:szCs w:val="20"/>
              </w:rPr>
              <w:t>Assessment</w:t>
            </w:r>
          </w:p>
        </w:tc>
      </w:tr>
      <w:tr w:rsidR="000F3E46" w:rsidRPr="008B7E1F" w14:paraId="026E984B" w14:textId="77777777" w:rsidTr="001D5549">
        <w:tc>
          <w:tcPr>
            <w:tcW w:w="5433" w:type="dxa"/>
          </w:tcPr>
          <w:p w14:paraId="036DBBF4"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9.2.1 To improve the water quality of Lake Brunner by managing the adverse effects of activities in the catchment to reach an average trophic level index of 2.8 by 2020, and then maintain or enhance this trophic level index.</w:t>
            </w:r>
          </w:p>
        </w:tc>
        <w:tc>
          <w:tcPr>
            <w:tcW w:w="3917" w:type="dxa"/>
          </w:tcPr>
          <w:p w14:paraId="23D02029" w14:textId="77777777" w:rsidR="000F3E46" w:rsidRPr="008B7E1F" w:rsidRDefault="000F3E46" w:rsidP="001D5549">
            <w:pPr>
              <w:rPr>
                <w:rFonts w:ascii="Poppins" w:hAnsi="Poppins" w:cs="Poppins"/>
                <w:sz w:val="20"/>
                <w:szCs w:val="20"/>
              </w:rPr>
            </w:pPr>
          </w:p>
        </w:tc>
      </w:tr>
      <w:tr w:rsidR="000F3E46" w:rsidRPr="008B7E1F" w14:paraId="57AA5AD6" w14:textId="77777777" w:rsidTr="001D5549">
        <w:tc>
          <w:tcPr>
            <w:tcW w:w="5433" w:type="dxa"/>
          </w:tcPr>
          <w:p w14:paraId="67D52F17"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9.2.2 To avoid, remedy, or mitigate adverse effects on aquatic ecosystems, cultural values, and contact recreation in the Lake Brunner/</w:t>
            </w:r>
            <w:proofErr w:type="spellStart"/>
            <w:r w:rsidRPr="008B7E1F">
              <w:rPr>
                <w:rFonts w:ascii="Poppins" w:hAnsi="Poppins" w:cs="Poppins"/>
                <w:sz w:val="20"/>
                <w:szCs w:val="20"/>
              </w:rPr>
              <w:t>Kötuku-Whakaoho</w:t>
            </w:r>
            <w:proofErr w:type="spellEnd"/>
            <w:r w:rsidRPr="008B7E1F">
              <w:rPr>
                <w:rFonts w:ascii="Poppins" w:hAnsi="Poppins" w:cs="Poppins"/>
                <w:sz w:val="20"/>
                <w:szCs w:val="20"/>
              </w:rPr>
              <w:t xml:space="preserve"> catchment.  </w:t>
            </w:r>
          </w:p>
        </w:tc>
        <w:tc>
          <w:tcPr>
            <w:tcW w:w="3917" w:type="dxa"/>
          </w:tcPr>
          <w:p w14:paraId="787C67E3" w14:textId="77777777" w:rsidR="000F3E46" w:rsidRPr="008B7E1F" w:rsidRDefault="000F3E46" w:rsidP="001D5549">
            <w:pPr>
              <w:rPr>
                <w:rFonts w:ascii="Poppins" w:hAnsi="Poppins" w:cs="Poppins"/>
                <w:sz w:val="20"/>
                <w:szCs w:val="20"/>
              </w:rPr>
            </w:pPr>
          </w:p>
        </w:tc>
      </w:tr>
      <w:tr w:rsidR="000F3E46" w:rsidRPr="008B7E1F" w14:paraId="1B175377" w14:textId="77777777" w:rsidTr="001D5549">
        <w:tc>
          <w:tcPr>
            <w:tcW w:w="5433" w:type="dxa"/>
          </w:tcPr>
          <w:p w14:paraId="3D6BA8D2" w14:textId="77777777" w:rsidR="000F3E46" w:rsidRPr="008B7E1F" w:rsidRDefault="000F3E46" w:rsidP="001D5549">
            <w:pPr>
              <w:jc w:val="center"/>
              <w:rPr>
                <w:rFonts w:ascii="Poppins" w:hAnsi="Poppins" w:cs="Poppins"/>
                <w:b/>
                <w:bCs/>
                <w:sz w:val="20"/>
                <w:szCs w:val="20"/>
              </w:rPr>
            </w:pPr>
            <w:r w:rsidRPr="008B7E1F">
              <w:rPr>
                <w:rFonts w:ascii="Poppins" w:hAnsi="Poppins" w:cs="Poppins"/>
                <w:b/>
                <w:bCs/>
                <w:sz w:val="20"/>
                <w:szCs w:val="20"/>
              </w:rPr>
              <w:t>POLICIES</w:t>
            </w:r>
          </w:p>
        </w:tc>
        <w:tc>
          <w:tcPr>
            <w:tcW w:w="3917" w:type="dxa"/>
          </w:tcPr>
          <w:p w14:paraId="66385B66" w14:textId="77777777" w:rsidR="000F3E46" w:rsidRPr="008B7E1F" w:rsidRDefault="000F3E46" w:rsidP="001D5549">
            <w:pPr>
              <w:jc w:val="center"/>
              <w:rPr>
                <w:rFonts w:ascii="Poppins" w:hAnsi="Poppins" w:cs="Poppins"/>
                <w:b/>
                <w:bCs/>
                <w:sz w:val="20"/>
                <w:szCs w:val="20"/>
              </w:rPr>
            </w:pPr>
          </w:p>
        </w:tc>
      </w:tr>
      <w:tr w:rsidR="000F3E46" w:rsidRPr="008B7E1F" w14:paraId="1DE777EA" w14:textId="77777777" w:rsidTr="001D5549">
        <w:tc>
          <w:tcPr>
            <w:tcW w:w="5433" w:type="dxa"/>
          </w:tcPr>
          <w:p w14:paraId="68E9B5EC"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 xml:space="preserve">9.3.1 The Council will manage Schedule 9 swimming areas in the Lake Brunner catchment for contact recreation purposes (Class CR) and all other surface water in the catchment for aquatic ecosystem purposes (Class AE).  </w:t>
            </w:r>
          </w:p>
        </w:tc>
        <w:tc>
          <w:tcPr>
            <w:tcW w:w="3917" w:type="dxa"/>
          </w:tcPr>
          <w:p w14:paraId="68F519B1" w14:textId="77777777" w:rsidR="000F3E46" w:rsidRPr="008B7E1F" w:rsidRDefault="000F3E46" w:rsidP="001D5549">
            <w:pPr>
              <w:rPr>
                <w:rFonts w:ascii="Poppins" w:hAnsi="Poppins" w:cs="Poppins"/>
                <w:sz w:val="20"/>
                <w:szCs w:val="20"/>
              </w:rPr>
            </w:pPr>
          </w:p>
        </w:tc>
      </w:tr>
      <w:tr w:rsidR="000F3E46" w:rsidRPr="008B7E1F" w14:paraId="75EA3CCD" w14:textId="77777777" w:rsidTr="001D5549">
        <w:tc>
          <w:tcPr>
            <w:tcW w:w="5433" w:type="dxa"/>
          </w:tcPr>
          <w:p w14:paraId="53F012F7"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 xml:space="preserve">9.3.2 To have regard to the cumulative effects of discharges of contaminants and the assimilative capacity of Lake Brunner/Kotuku-Whakaoho.  </w:t>
            </w:r>
          </w:p>
        </w:tc>
        <w:tc>
          <w:tcPr>
            <w:tcW w:w="3917" w:type="dxa"/>
          </w:tcPr>
          <w:p w14:paraId="3C146818" w14:textId="77777777" w:rsidR="000F3E46" w:rsidRPr="008B7E1F" w:rsidRDefault="000F3E46" w:rsidP="001D5549">
            <w:pPr>
              <w:rPr>
                <w:rFonts w:ascii="Poppins" w:hAnsi="Poppins" w:cs="Poppins"/>
                <w:sz w:val="20"/>
                <w:szCs w:val="20"/>
              </w:rPr>
            </w:pPr>
          </w:p>
        </w:tc>
      </w:tr>
      <w:tr w:rsidR="000F3E46" w:rsidRPr="008B7E1F" w14:paraId="7C4E7E79" w14:textId="77777777" w:rsidTr="001D5549">
        <w:tc>
          <w:tcPr>
            <w:tcW w:w="5433" w:type="dxa"/>
          </w:tcPr>
          <w:p w14:paraId="362B8DBE"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9.3.3 To reduce the loss of phosphorus to water in the Lake Brunner catchment.</w:t>
            </w:r>
          </w:p>
        </w:tc>
        <w:tc>
          <w:tcPr>
            <w:tcW w:w="3917" w:type="dxa"/>
          </w:tcPr>
          <w:p w14:paraId="3FE982DF" w14:textId="77777777" w:rsidR="000F3E46" w:rsidRPr="008B7E1F" w:rsidRDefault="000F3E46" w:rsidP="001D5549">
            <w:pPr>
              <w:rPr>
                <w:rFonts w:ascii="Poppins" w:hAnsi="Poppins" w:cs="Poppins"/>
                <w:sz w:val="20"/>
                <w:szCs w:val="20"/>
              </w:rPr>
            </w:pPr>
          </w:p>
        </w:tc>
      </w:tr>
      <w:tr w:rsidR="000F3E46" w:rsidRPr="008B7E1F" w14:paraId="4C0354B7" w14:textId="77777777" w:rsidTr="001D5549">
        <w:tc>
          <w:tcPr>
            <w:tcW w:w="5433" w:type="dxa"/>
          </w:tcPr>
          <w:p w14:paraId="6A56E383" w14:textId="77777777" w:rsidR="000F3E46" w:rsidRPr="008B7E1F" w:rsidRDefault="000F3E46" w:rsidP="001D5549">
            <w:pPr>
              <w:rPr>
                <w:rFonts w:ascii="Poppins" w:hAnsi="Poppins" w:cs="Poppins"/>
                <w:sz w:val="20"/>
                <w:szCs w:val="20"/>
              </w:rPr>
            </w:pPr>
            <w:r w:rsidRPr="008B7E1F">
              <w:rPr>
                <w:rFonts w:ascii="Poppins" w:hAnsi="Poppins" w:cs="Poppins"/>
                <w:sz w:val="20"/>
                <w:szCs w:val="20"/>
              </w:rPr>
              <w:t xml:space="preserve">9.3.4 To require discharges of dairy effluent in the Lake Brunner catchment to be to land, rather than directly to water.  </w:t>
            </w:r>
          </w:p>
        </w:tc>
        <w:tc>
          <w:tcPr>
            <w:tcW w:w="3917" w:type="dxa"/>
          </w:tcPr>
          <w:p w14:paraId="226306A9" w14:textId="77777777" w:rsidR="000F3E46" w:rsidRPr="008B7E1F" w:rsidRDefault="000F3E46" w:rsidP="001D5549">
            <w:pPr>
              <w:rPr>
                <w:rFonts w:ascii="Poppins" w:hAnsi="Poppins" w:cs="Poppins"/>
                <w:sz w:val="20"/>
                <w:szCs w:val="20"/>
              </w:rPr>
            </w:pPr>
          </w:p>
        </w:tc>
      </w:tr>
      <w:tr w:rsidR="000F3E46" w:rsidRPr="008B7E1F" w14:paraId="5509A221" w14:textId="77777777" w:rsidTr="001D5549">
        <w:tc>
          <w:tcPr>
            <w:tcW w:w="5433" w:type="dxa"/>
          </w:tcPr>
          <w:p w14:paraId="36D5C9B9" w14:textId="77777777" w:rsidR="000F3E46" w:rsidRPr="008B7E1F" w:rsidRDefault="000F3E46" w:rsidP="001D5549">
            <w:pPr>
              <w:tabs>
                <w:tab w:val="left" w:pos="3149"/>
              </w:tabs>
              <w:rPr>
                <w:rFonts w:ascii="Poppins" w:hAnsi="Poppins" w:cs="Poppins"/>
                <w:sz w:val="20"/>
                <w:szCs w:val="20"/>
              </w:rPr>
            </w:pPr>
            <w:proofErr w:type="gramStart"/>
            <w:r w:rsidRPr="008B7E1F">
              <w:rPr>
                <w:rFonts w:ascii="Poppins" w:hAnsi="Poppins" w:cs="Poppins"/>
                <w:sz w:val="20"/>
                <w:szCs w:val="20"/>
              </w:rPr>
              <w:t>9.3.5  To</w:t>
            </w:r>
            <w:proofErr w:type="gramEnd"/>
            <w:r w:rsidRPr="008B7E1F">
              <w:rPr>
                <w:rFonts w:ascii="Poppins" w:hAnsi="Poppins" w:cs="Poppins"/>
                <w:sz w:val="20"/>
                <w:szCs w:val="20"/>
              </w:rPr>
              <w:t xml:space="preserve"> prevent stock access to waterways.</w:t>
            </w:r>
          </w:p>
        </w:tc>
        <w:tc>
          <w:tcPr>
            <w:tcW w:w="3917" w:type="dxa"/>
          </w:tcPr>
          <w:p w14:paraId="42A87E7F" w14:textId="77777777" w:rsidR="000F3E46" w:rsidRPr="008B7E1F" w:rsidRDefault="000F3E46" w:rsidP="001D5549">
            <w:pPr>
              <w:tabs>
                <w:tab w:val="left" w:pos="3149"/>
              </w:tabs>
              <w:rPr>
                <w:rFonts w:ascii="Poppins" w:hAnsi="Poppins" w:cs="Poppins"/>
                <w:sz w:val="20"/>
                <w:szCs w:val="20"/>
              </w:rPr>
            </w:pPr>
          </w:p>
        </w:tc>
      </w:tr>
      <w:tr w:rsidR="000F3E46" w:rsidRPr="008B7E1F" w14:paraId="570D48E3" w14:textId="77777777" w:rsidTr="001D5549">
        <w:tc>
          <w:tcPr>
            <w:tcW w:w="5433" w:type="dxa"/>
          </w:tcPr>
          <w:p w14:paraId="6D9DBD94" w14:textId="77777777" w:rsidR="000F3E46" w:rsidRPr="008B7E1F" w:rsidRDefault="000F3E46" w:rsidP="001D5549">
            <w:pPr>
              <w:tabs>
                <w:tab w:val="left" w:pos="3149"/>
              </w:tabs>
              <w:rPr>
                <w:rFonts w:ascii="Poppins" w:hAnsi="Poppins" w:cs="Poppins"/>
                <w:sz w:val="20"/>
                <w:szCs w:val="20"/>
              </w:rPr>
            </w:pPr>
            <w:r w:rsidRPr="008B7E1F">
              <w:rPr>
                <w:rFonts w:ascii="Poppins" w:hAnsi="Poppins" w:cs="Poppins"/>
                <w:sz w:val="20"/>
                <w:szCs w:val="20"/>
              </w:rPr>
              <w:t>9.3.6 To reduce the loss of phosphorus to Lake Brunner associated with the development of land, by managing phosphate fertiliser use in the catchment so that no net increases in annual loss occurs per property.</w:t>
            </w:r>
          </w:p>
          <w:p w14:paraId="577EBEB1" w14:textId="77777777" w:rsidR="000F3E46" w:rsidRPr="008B7E1F" w:rsidRDefault="000F3E46" w:rsidP="001D5549">
            <w:pPr>
              <w:tabs>
                <w:tab w:val="left" w:pos="3149"/>
              </w:tabs>
              <w:rPr>
                <w:rFonts w:ascii="Poppins" w:hAnsi="Poppins" w:cs="Poppins"/>
                <w:sz w:val="20"/>
                <w:szCs w:val="20"/>
              </w:rPr>
            </w:pPr>
            <w:proofErr w:type="gramStart"/>
            <w:r w:rsidRPr="008B7E1F">
              <w:rPr>
                <w:rFonts w:ascii="Poppins" w:hAnsi="Poppins" w:cs="Poppins"/>
                <w:sz w:val="20"/>
                <w:szCs w:val="20"/>
              </w:rPr>
              <w:t>9.3.7  To</w:t>
            </w:r>
            <w:proofErr w:type="gramEnd"/>
            <w:r w:rsidRPr="008B7E1F">
              <w:rPr>
                <w:rFonts w:ascii="Poppins" w:hAnsi="Poppins" w:cs="Poppins"/>
                <w:sz w:val="20"/>
                <w:szCs w:val="20"/>
              </w:rPr>
              <w:t xml:space="preserve"> encourage methods of wintering of stock that will reduce the risk of phosphorus loss in the Lake Brunner catchment, including the management of effluent that results from wintering methods. </w:t>
            </w:r>
          </w:p>
        </w:tc>
        <w:tc>
          <w:tcPr>
            <w:tcW w:w="3917" w:type="dxa"/>
          </w:tcPr>
          <w:p w14:paraId="346663BE" w14:textId="77777777" w:rsidR="000F3E46" w:rsidRPr="008B7E1F" w:rsidRDefault="000F3E46" w:rsidP="001D5549">
            <w:pPr>
              <w:tabs>
                <w:tab w:val="left" w:pos="3149"/>
              </w:tabs>
              <w:rPr>
                <w:rFonts w:ascii="Poppins" w:hAnsi="Poppins" w:cs="Poppins"/>
                <w:sz w:val="20"/>
                <w:szCs w:val="20"/>
              </w:rPr>
            </w:pPr>
          </w:p>
        </w:tc>
      </w:tr>
    </w:tbl>
    <w:p w14:paraId="5FF47A01" w14:textId="77777777" w:rsidR="000F3E46" w:rsidRPr="008B7E1F" w:rsidRDefault="000F3E46">
      <w:pPr>
        <w:rPr>
          <w:rFonts w:ascii="Poppins" w:hAnsi="Poppins" w:cs="Poppins"/>
          <w:sz w:val="20"/>
          <w:szCs w:val="20"/>
          <w:lang w:val="en-US"/>
        </w:rPr>
      </w:pPr>
    </w:p>
    <w:sectPr w:rsidR="000F3E46" w:rsidRPr="008B7E1F" w:rsidSect="00154D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FA73" w14:textId="77777777" w:rsidR="002844C8" w:rsidRDefault="002844C8" w:rsidP="007663E3">
      <w:pPr>
        <w:spacing w:after="0" w:line="240" w:lineRule="auto"/>
      </w:pPr>
      <w:r>
        <w:separator/>
      </w:r>
    </w:p>
  </w:endnote>
  <w:endnote w:type="continuationSeparator" w:id="0">
    <w:p w14:paraId="2C931752" w14:textId="77777777" w:rsidR="002844C8" w:rsidRDefault="002844C8" w:rsidP="00766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A7D9" w14:textId="77777777" w:rsidR="002844C8" w:rsidRDefault="002844C8" w:rsidP="007663E3">
      <w:pPr>
        <w:spacing w:after="0" w:line="240" w:lineRule="auto"/>
      </w:pPr>
      <w:r>
        <w:separator/>
      </w:r>
    </w:p>
  </w:footnote>
  <w:footnote w:type="continuationSeparator" w:id="0">
    <w:p w14:paraId="285FE9A1" w14:textId="77777777" w:rsidR="002844C8" w:rsidRDefault="002844C8" w:rsidP="00766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DF078" w14:textId="77777777" w:rsidR="006346B7" w:rsidRDefault="006346B7" w:rsidP="006346B7">
    <w:pPr>
      <w:pStyle w:val="Header"/>
    </w:pPr>
    <w:r w:rsidRPr="004A78A4">
      <w:rPr>
        <w:rFonts w:ascii="Arial" w:eastAsia="Arial" w:hAnsi="Arial" w:cs="Arial"/>
        <w:noProof/>
        <w:sz w:val="24"/>
      </w:rPr>
      <mc:AlternateContent>
        <mc:Choice Requires="wps">
          <w:drawing>
            <wp:anchor distT="0" distB="0" distL="114300" distR="114300" simplePos="0" relativeHeight="251659264" behindDoc="0" locked="0" layoutInCell="1" allowOverlap="1" wp14:anchorId="5906A860" wp14:editId="6F7642FD">
              <wp:simplePos x="0" y="0"/>
              <wp:positionH relativeFrom="column">
                <wp:posOffset>-695325</wp:posOffset>
              </wp:positionH>
              <wp:positionV relativeFrom="paragraph">
                <wp:posOffset>-266700</wp:posOffset>
              </wp:positionV>
              <wp:extent cx="3800475" cy="560705"/>
              <wp:effectExtent l="0" t="0" r="0" b="0"/>
              <wp:wrapNone/>
              <wp:docPr id="78" name="Rectangle 1"/>
              <wp:cNvGraphicFramePr/>
              <a:graphic xmlns:a="http://schemas.openxmlformats.org/drawingml/2006/main">
                <a:graphicData uri="http://schemas.microsoft.com/office/word/2010/wordprocessingShape">
                  <wps:wsp>
                    <wps:cNvSpPr/>
                    <wps:spPr>
                      <a:xfrm>
                        <a:off x="0" y="0"/>
                        <a:ext cx="3800475" cy="560705"/>
                      </a:xfrm>
                      <a:prstGeom prst="rect">
                        <a:avLst/>
                      </a:prstGeom>
                      <a:ln>
                        <a:noFill/>
                      </a:ln>
                    </wps:spPr>
                    <wps:txbx>
                      <w:txbxContent>
                        <w:p w14:paraId="2BDBF3CE" w14:textId="77777777" w:rsidR="006346B7" w:rsidRDefault="006346B7" w:rsidP="006346B7">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 </w:t>
                          </w:r>
                        </w:p>
                        <w:p w14:paraId="3024E47A" w14:textId="42EF0EB5" w:rsidR="006346B7" w:rsidRPr="00994599" w:rsidRDefault="006346B7" w:rsidP="006346B7">
                          <w:pPr>
                            <w:spacing w:after="0"/>
                            <w:rPr>
                              <w:rFonts w:ascii="Poppins" w:hAnsi="Poppins" w:cs="Poppins"/>
                            </w:rPr>
                          </w:pPr>
                          <w:r>
                            <w:rPr>
                              <w:rFonts w:ascii="Poppins" w:hAnsi="Poppins" w:cs="Poppins"/>
                              <w:color w:val="FFFFFF"/>
                              <w:sz w:val="16"/>
                            </w:rPr>
                            <w:t xml:space="preserve">s15 </w:t>
                          </w:r>
                          <w:r>
                            <w:rPr>
                              <w:rFonts w:ascii="Poppins" w:hAnsi="Poppins" w:cs="Poppins"/>
                              <w:color w:val="FFFFFF"/>
                              <w:sz w:val="16"/>
                            </w:rPr>
                            <w:t>Special Management Area: Lake Brunner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906A860" id="Rectangle 1" o:spid="_x0000_s1026" style="position:absolute;margin-left:-54.75pt;margin-top:-21pt;width:299.25pt;height:4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" filled="f" stroked="f">
              <v:textbox inset="0,0,0,0">
                <w:txbxContent>
                  <w:p w14:paraId="2BDBF3CE" w14:textId="77777777" w:rsidR="006346B7" w:rsidRDefault="006346B7" w:rsidP="006346B7">
                    <w:pPr>
                      <w:spacing w:after="0"/>
                      <w:rPr>
                        <w:rFonts w:ascii="Poppins" w:hAnsi="Poppins" w:cs="Poppins"/>
                        <w:color w:val="FFFFFF"/>
                        <w:sz w:val="16"/>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 </w:t>
                    </w:r>
                  </w:p>
                  <w:p w14:paraId="3024E47A" w14:textId="42EF0EB5" w:rsidR="006346B7" w:rsidRPr="00994599" w:rsidRDefault="006346B7" w:rsidP="006346B7">
                    <w:pPr>
                      <w:spacing w:after="0"/>
                      <w:rPr>
                        <w:rFonts w:ascii="Poppins" w:hAnsi="Poppins" w:cs="Poppins"/>
                      </w:rPr>
                    </w:pPr>
                    <w:r>
                      <w:rPr>
                        <w:rFonts w:ascii="Poppins" w:hAnsi="Poppins" w:cs="Poppins"/>
                        <w:color w:val="FFFFFF"/>
                        <w:sz w:val="16"/>
                      </w:rPr>
                      <w:t xml:space="preserve">s15 </w:t>
                    </w:r>
                    <w:r>
                      <w:rPr>
                        <w:rFonts w:ascii="Poppins" w:hAnsi="Poppins" w:cs="Poppins"/>
                        <w:color w:val="FFFFFF"/>
                        <w:sz w:val="16"/>
                      </w:rPr>
                      <w:t>Special Management Area: Lake Brunner</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26F4D521" wp14:editId="19A11826">
          <wp:simplePos x="0" y="0"/>
          <wp:positionH relativeFrom="page">
            <wp:align>left</wp:align>
          </wp:positionH>
          <wp:positionV relativeFrom="paragraph">
            <wp:posOffset>-466725</wp:posOffset>
          </wp:positionV>
          <wp:extent cx="7781925"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81925"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085">
      <w:rPr>
        <w:noProof/>
        <w:sz w:val="28"/>
        <w:szCs w:val="28"/>
      </w:rPr>
      <w:drawing>
        <wp:anchor distT="0" distB="0" distL="114300" distR="114300" simplePos="0" relativeHeight="251661312" behindDoc="1" locked="0" layoutInCell="1" allowOverlap="1" wp14:anchorId="54283661" wp14:editId="25BB1981">
          <wp:simplePos x="0" y="0"/>
          <wp:positionH relativeFrom="page">
            <wp:posOffset>5114925</wp:posOffset>
          </wp:positionH>
          <wp:positionV relativeFrom="paragraph">
            <wp:posOffset>-287655</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2FC855" w14:textId="69CE90E5" w:rsidR="007663E3" w:rsidRPr="006346B7" w:rsidRDefault="007663E3" w:rsidP="00634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7E4"/>
    <w:multiLevelType w:val="hybridMultilevel"/>
    <w:tmpl w:val="C8AE734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51E392A"/>
    <w:multiLevelType w:val="hybridMultilevel"/>
    <w:tmpl w:val="B83A191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0D79A5"/>
    <w:multiLevelType w:val="hybridMultilevel"/>
    <w:tmpl w:val="357C413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FD75DBB"/>
    <w:multiLevelType w:val="hybridMultilevel"/>
    <w:tmpl w:val="FBA2345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42A342F"/>
    <w:multiLevelType w:val="hybridMultilevel"/>
    <w:tmpl w:val="E59E866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48CB6510"/>
    <w:multiLevelType w:val="hybridMultilevel"/>
    <w:tmpl w:val="986E1B4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B107244"/>
    <w:multiLevelType w:val="hybridMultilevel"/>
    <w:tmpl w:val="D19E3DA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5415FC6"/>
    <w:multiLevelType w:val="hybridMultilevel"/>
    <w:tmpl w:val="05F4B86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592530E6"/>
    <w:multiLevelType w:val="hybridMultilevel"/>
    <w:tmpl w:val="9F88A0D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4D6703"/>
    <w:multiLevelType w:val="hybridMultilevel"/>
    <w:tmpl w:val="FA34334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67E51219"/>
    <w:multiLevelType w:val="hybridMultilevel"/>
    <w:tmpl w:val="61B8376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6C820E1D"/>
    <w:multiLevelType w:val="hybridMultilevel"/>
    <w:tmpl w:val="66A6760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F2D5B3E"/>
    <w:multiLevelType w:val="hybridMultilevel"/>
    <w:tmpl w:val="2A18552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0DF66E2"/>
    <w:multiLevelType w:val="hybridMultilevel"/>
    <w:tmpl w:val="94446CC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6556E49"/>
    <w:multiLevelType w:val="hybridMultilevel"/>
    <w:tmpl w:val="4A28399A"/>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77E14A48"/>
    <w:multiLevelType w:val="hybridMultilevel"/>
    <w:tmpl w:val="C23ACF2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352001921">
    <w:abstractNumId w:val="7"/>
  </w:num>
  <w:num w:numId="2" w16cid:durableId="350303395">
    <w:abstractNumId w:val="2"/>
  </w:num>
  <w:num w:numId="3" w16cid:durableId="458114585">
    <w:abstractNumId w:val="15"/>
  </w:num>
  <w:num w:numId="4" w16cid:durableId="1352418958">
    <w:abstractNumId w:val="4"/>
  </w:num>
  <w:num w:numId="5" w16cid:durableId="1131555394">
    <w:abstractNumId w:val="12"/>
  </w:num>
  <w:num w:numId="6" w16cid:durableId="1799906530">
    <w:abstractNumId w:val="9"/>
  </w:num>
  <w:num w:numId="7" w16cid:durableId="245845983">
    <w:abstractNumId w:val="13"/>
  </w:num>
  <w:num w:numId="8" w16cid:durableId="929391741">
    <w:abstractNumId w:val="1"/>
  </w:num>
  <w:num w:numId="9" w16cid:durableId="410003731">
    <w:abstractNumId w:val="11"/>
  </w:num>
  <w:num w:numId="10" w16cid:durableId="1832330836">
    <w:abstractNumId w:val="10"/>
  </w:num>
  <w:num w:numId="11" w16cid:durableId="2021659493">
    <w:abstractNumId w:val="6"/>
  </w:num>
  <w:num w:numId="12" w16cid:durableId="686905419">
    <w:abstractNumId w:val="3"/>
  </w:num>
  <w:num w:numId="13" w16cid:durableId="2017925534">
    <w:abstractNumId w:val="0"/>
  </w:num>
  <w:num w:numId="14" w16cid:durableId="1354764833">
    <w:abstractNumId w:val="5"/>
  </w:num>
  <w:num w:numId="15" w16cid:durableId="815418455">
    <w:abstractNumId w:val="14"/>
  </w:num>
  <w:num w:numId="16" w16cid:durableId="10018156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5B9"/>
    <w:rsid w:val="000245D2"/>
    <w:rsid w:val="000664E6"/>
    <w:rsid w:val="000675A4"/>
    <w:rsid w:val="00081757"/>
    <w:rsid w:val="000F3E46"/>
    <w:rsid w:val="000F45B9"/>
    <w:rsid w:val="00116AB5"/>
    <w:rsid w:val="001378DF"/>
    <w:rsid w:val="00154D89"/>
    <w:rsid w:val="001A1F28"/>
    <w:rsid w:val="002674A5"/>
    <w:rsid w:val="002844C8"/>
    <w:rsid w:val="002C05DF"/>
    <w:rsid w:val="00315D94"/>
    <w:rsid w:val="003246E6"/>
    <w:rsid w:val="00357B1B"/>
    <w:rsid w:val="003E0D85"/>
    <w:rsid w:val="004B0246"/>
    <w:rsid w:val="004F1AFC"/>
    <w:rsid w:val="00510501"/>
    <w:rsid w:val="005A07C2"/>
    <w:rsid w:val="005D05E1"/>
    <w:rsid w:val="005D6366"/>
    <w:rsid w:val="0063089D"/>
    <w:rsid w:val="006346B7"/>
    <w:rsid w:val="00636BAF"/>
    <w:rsid w:val="0068037C"/>
    <w:rsid w:val="006D62C4"/>
    <w:rsid w:val="00750AB7"/>
    <w:rsid w:val="00752AA7"/>
    <w:rsid w:val="007663E3"/>
    <w:rsid w:val="00797CEE"/>
    <w:rsid w:val="008B0574"/>
    <w:rsid w:val="008B216B"/>
    <w:rsid w:val="008B7E1F"/>
    <w:rsid w:val="00923F18"/>
    <w:rsid w:val="009A7BD8"/>
    <w:rsid w:val="00A10AA0"/>
    <w:rsid w:val="00A47CD7"/>
    <w:rsid w:val="00B04670"/>
    <w:rsid w:val="00B40237"/>
    <w:rsid w:val="00B4245A"/>
    <w:rsid w:val="00B4527F"/>
    <w:rsid w:val="00BA2A9B"/>
    <w:rsid w:val="00BC12F0"/>
    <w:rsid w:val="00C0114C"/>
    <w:rsid w:val="00C26A37"/>
    <w:rsid w:val="00C3797B"/>
    <w:rsid w:val="00C407D8"/>
    <w:rsid w:val="00C426FA"/>
    <w:rsid w:val="00C42930"/>
    <w:rsid w:val="00D00930"/>
    <w:rsid w:val="00D04906"/>
    <w:rsid w:val="00DA0252"/>
    <w:rsid w:val="00E36484"/>
    <w:rsid w:val="00E72CEB"/>
    <w:rsid w:val="00E92AF1"/>
    <w:rsid w:val="00EE7C4B"/>
    <w:rsid w:val="00FB49DC"/>
    <w:rsid w:val="00FD24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D17E6"/>
  <w15:chartTrackingRefBased/>
  <w15:docId w15:val="{ABD1DC54-A90F-42A1-8476-296FB22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4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4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4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4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5B9"/>
    <w:rPr>
      <w:rFonts w:eastAsiaTheme="majorEastAsia" w:cstheme="majorBidi"/>
      <w:color w:val="272727" w:themeColor="text1" w:themeTint="D8"/>
    </w:rPr>
  </w:style>
  <w:style w:type="paragraph" w:styleId="Title">
    <w:name w:val="Title"/>
    <w:basedOn w:val="Normal"/>
    <w:next w:val="Normal"/>
    <w:link w:val="TitleChar"/>
    <w:uiPriority w:val="10"/>
    <w:qFormat/>
    <w:rsid w:val="000F4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5B9"/>
    <w:pPr>
      <w:spacing w:before="160"/>
      <w:jc w:val="center"/>
    </w:pPr>
    <w:rPr>
      <w:i/>
      <w:iCs/>
      <w:color w:val="404040" w:themeColor="text1" w:themeTint="BF"/>
    </w:rPr>
  </w:style>
  <w:style w:type="character" w:customStyle="1" w:styleId="QuoteChar">
    <w:name w:val="Quote Char"/>
    <w:basedOn w:val="DefaultParagraphFont"/>
    <w:link w:val="Quote"/>
    <w:uiPriority w:val="29"/>
    <w:rsid w:val="000F45B9"/>
    <w:rPr>
      <w:i/>
      <w:iCs/>
      <w:color w:val="404040" w:themeColor="text1" w:themeTint="BF"/>
    </w:rPr>
  </w:style>
  <w:style w:type="paragraph" w:styleId="ListParagraph">
    <w:name w:val="List Paragraph"/>
    <w:basedOn w:val="Normal"/>
    <w:uiPriority w:val="34"/>
    <w:qFormat/>
    <w:rsid w:val="000F45B9"/>
    <w:pPr>
      <w:ind w:left="720"/>
      <w:contextualSpacing/>
    </w:pPr>
  </w:style>
  <w:style w:type="character" w:styleId="IntenseEmphasis">
    <w:name w:val="Intense Emphasis"/>
    <w:basedOn w:val="DefaultParagraphFont"/>
    <w:uiPriority w:val="21"/>
    <w:qFormat/>
    <w:rsid w:val="000F45B9"/>
    <w:rPr>
      <w:i/>
      <w:iCs/>
      <w:color w:val="0F4761" w:themeColor="accent1" w:themeShade="BF"/>
    </w:rPr>
  </w:style>
  <w:style w:type="paragraph" w:styleId="IntenseQuote">
    <w:name w:val="Intense Quote"/>
    <w:basedOn w:val="Normal"/>
    <w:next w:val="Normal"/>
    <w:link w:val="IntenseQuoteChar"/>
    <w:uiPriority w:val="30"/>
    <w:qFormat/>
    <w:rsid w:val="000F4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5B9"/>
    <w:rPr>
      <w:i/>
      <w:iCs/>
      <w:color w:val="0F4761" w:themeColor="accent1" w:themeShade="BF"/>
    </w:rPr>
  </w:style>
  <w:style w:type="character" w:styleId="IntenseReference">
    <w:name w:val="Intense Reference"/>
    <w:basedOn w:val="DefaultParagraphFont"/>
    <w:uiPriority w:val="32"/>
    <w:qFormat/>
    <w:rsid w:val="000F45B9"/>
    <w:rPr>
      <w:b/>
      <w:bCs/>
      <w:smallCaps/>
      <w:color w:val="0F4761" w:themeColor="accent1" w:themeShade="BF"/>
      <w:spacing w:val="5"/>
    </w:rPr>
  </w:style>
  <w:style w:type="table" w:styleId="TableGrid">
    <w:name w:val="Table Grid"/>
    <w:basedOn w:val="TableNormal"/>
    <w:uiPriority w:val="39"/>
    <w:rsid w:val="00B40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5DF"/>
    <w:pPr>
      <w:spacing w:after="0" w:line="240" w:lineRule="auto"/>
    </w:pPr>
  </w:style>
  <w:style w:type="paragraph" w:styleId="Header">
    <w:name w:val="header"/>
    <w:basedOn w:val="Normal"/>
    <w:link w:val="HeaderChar"/>
    <w:uiPriority w:val="99"/>
    <w:unhideWhenUsed/>
    <w:rsid w:val="00766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3E3"/>
  </w:style>
  <w:style w:type="paragraph" w:styleId="Footer">
    <w:name w:val="footer"/>
    <w:basedOn w:val="Normal"/>
    <w:link w:val="FooterChar"/>
    <w:uiPriority w:val="99"/>
    <w:unhideWhenUsed/>
    <w:rsid w:val="00766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Tin Nguyen</cp:lastModifiedBy>
  <cp:revision>40</cp:revision>
  <dcterms:created xsi:type="dcterms:W3CDTF">2025-11-25T03:10:00Z</dcterms:created>
  <dcterms:modified xsi:type="dcterms:W3CDTF">2026-05-05T22:01:00Z</dcterms:modified>
</cp:coreProperties>
</file>