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E53CC" w14:textId="77777777" w:rsidR="00EE2996" w:rsidRDefault="00EE2996">
      <w:pPr>
        <w:widowControl w:val="0"/>
        <w:pBdr>
          <w:top w:val="nil"/>
          <w:left w:val="nil"/>
          <w:bottom w:val="nil"/>
          <w:right w:val="nil"/>
          <w:between w:val="nil"/>
        </w:pBdr>
        <w:spacing w:after="0"/>
      </w:pPr>
    </w:p>
    <w:p w14:paraId="0F81B857" w14:textId="0B5D1819" w:rsidR="00EE2996" w:rsidRDefault="00000000">
      <w:pPr>
        <w:widowControl w:val="0"/>
        <w:pBdr>
          <w:top w:val="nil"/>
          <w:left w:val="nil"/>
          <w:bottom w:val="nil"/>
          <w:right w:val="nil"/>
          <w:between w:val="nil"/>
        </w:pBdr>
        <w:spacing w:after="0"/>
      </w:pPr>
      <w:r>
        <w:t xml:space="preserve">Final </w:t>
      </w:r>
      <w:r w:rsidR="00892F8C">
        <w:t>2</w:t>
      </w:r>
      <w:r>
        <w:t>9.08.2025</w:t>
      </w:r>
    </w:p>
    <w:p w14:paraId="7E89A590" w14:textId="77777777" w:rsidR="00EE2996" w:rsidRDefault="00000000">
      <w:pPr>
        <w:tabs>
          <w:tab w:val="left" w:pos="-14"/>
          <w:tab w:val="left" w:pos="1529"/>
          <w:tab w:val="left" w:pos="1926"/>
          <w:tab w:val="left" w:pos="2492"/>
          <w:tab w:val="left" w:pos="3059"/>
          <w:tab w:val="left" w:pos="4534"/>
          <w:tab w:val="left" w:pos="7141"/>
        </w:tabs>
        <w:ind w:left="166" w:hanging="180"/>
        <w:jc w:val="both"/>
        <w:rPr>
          <w:sz w:val="24"/>
          <w:szCs w:val="24"/>
        </w:rPr>
      </w:pPr>
      <w:r>
        <w:rPr>
          <w:b/>
          <w:sz w:val="24"/>
          <w:szCs w:val="24"/>
        </w:rPr>
        <w:t>COMPOST PROCESS OVERVIEW:</w:t>
      </w:r>
    </w:p>
    <w:p w14:paraId="01A17BDA" w14:textId="77777777" w:rsidR="00EE2996" w:rsidRDefault="00000000">
      <w:r>
        <w:t xml:space="preserve">The Von Ah Compost Yard uses a method of composting referred to as Static Pile composting. </w:t>
      </w:r>
    </w:p>
    <w:p w14:paraId="2B191B76" w14:textId="77777777" w:rsidR="00EE2996" w:rsidRDefault="00000000">
      <w:r>
        <w:t xml:space="preserve">Static Pile composting is a method of breaking down organic waste into compost by piling it up into long, narrow windrows and allowing bacteria to decompose the material. The windrows are turned regularly to expose them to air, light, and heat, which helps microorganisms break down the waste into compost. By regularly monitoring temperature and turning the piles, adequate aeration is provided to promote microbial activity, accelerate decomposition and maintain temperatures inside an ideal range (50-60°C). </w:t>
      </w:r>
    </w:p>
    <w:p w14:paraId="7D3F395C" w14:textId="77777777" w:rsidR="00EE2996" w:rsidRDefault="00000000">
      <w:r>
        <w:t>By choosing a carbon source with a suitable particle size to mix with the organic waste material and sufficient turning, aerobic conditions are achieved in the windrow to accelerate decomposition, control odours and generate high temperatures, which kill pathogenic bacteria and produce a humus-like product. The Von Ah Compost Yard processes solid animal waste effluent plant solids (paunch grass, stockyard solids and sludges) and woodchips to produce a composted soil conditioner.</w:t>
      </w:r>
    </w:p>
    <w:p w14:paraId="7D886C4D" w14:textId="77777777" w:rsidR="00EE2996" w:rsidRDefault="00000000">
      <w:r>
        <w:t>This document provides standards, hazards and additional information for each step of the process, as well as key details of the compost yard infrastructure.</w:t>
      </w:r>
    </w:p>
    <w:p w14:paraId="75AFC187" w14:textId="77777777" w:rsidR="00EE2996" w:rsidRDefault="00000000">
      <w:r>
        <w:t xml:space="preserve">Below is a high-level process flow overview of the process. </w:t>
      </w:r>
    </w:p>
    <w:p w14:paraId="72A0461C" w14:textId="77777777" w:rsidR="00EE2996" w:rsidRDefault="00000000">
      <w:r>
        <w:rPr>
          <w:noProof/>
        </w:rPr>
        <w:drawing>
          <wp:inline distT="114300" distB="114300" distL="114300" distR="114300" wp14:anchorId="1592DBCC" wp14:editId="3E06D569">
            <wp:extent cx="5731200" cy="4572000"/>
            <wp:effectExtent l="0" t="0" r="0" b="0"/>
            <wp:docPr id="162880753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5731200" cy="4572000"/>
                    </a:xfrm>
                    <a:prstGeom prst="rect">
                      <a:avLst/>
                    </a:prstGeom>
                    <a:ln/>
                  </pic:spPr>
                </pic:pic>
              </a:graphicData>
            </a:graphic>
          </wp:inline>
        </w:drawing>
      </w:r>
    </w:p>
    <w:p w14:paraId="09AE99EF"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0A541FBF" w14:textId="77777777" w:rsidR="00EE2996" w:rsidRDefault="00EE2996"/>
    <w:p w14:paraId="5852A585"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tbl>
      <w:tblPr>
        <w:tblStyle w:val="af3"/>
        <w:tblW w:w="8555" w:type="dxa"/>
        <w:tblInd w:w="106" w:type="dxa"/>
        <w:tblLayout w:type="fixed"/>
        <w:tblLook w:val="0000" w:firstRow="0" w:lastRow="0" w:firstColumn="0" w:lastColumn="0" w:noHBand="0" w:noVBand="0"/>
      </w:tblPr>
      <w:tblGrid>
        <w:gridCol w:w="1586"/>
        <w:gridCol w:w="6969"/>
      </w:tblGrid>
      <w:tr w:rsidR="00EE2996" w14:paraId="27534B72"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5A4D5ED"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Item</w:t>
            </w:r>
          </w:p>
        </w:tc>
        <w:tc>
          <w:tcPr>
            <w:tcW w:w="6969" w:type="dxa"/>
            <w:tcBorders>
              <w:top w:val="single" w:sz="7" w:space="0" w:color="000000"/>
              <w:left w:val="single" w:sz="7" w:space="0" w:color="000000"/>
              <w:bottom w:val="single" w:sz="7" w:space="0" w:color="000000"/>
              <w:right w:val="single" w:sz="7" w:space="0" w:color="000000"/>
            </w:tcBorders>
          </w:tcPr>
          <w:p w14:paraId="4FAFD38B"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BULKING AGENT: WOOD BLEND</w:t>
            </w:r>
          </w:p>
        </w:tc>
      </w:tr>
      <w:tr w:rsidR="00EE2996" w14:paraId="3D838734"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418226FC"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391E71D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Bulking material (principal carbon source):</w:t>
            </w:r>
          </w:p>
          <w:p w14:paraId="6001BB83"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Woodchip</w:t>
            </w:r>
          </w:p>
        </w:tc>
      </w:tr>
      <w:tr w:rsidR="00EE2996" w14:paraId="08068DB1"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9E69DF8"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Hazard(s)</w:t>
            </w:r>
          </w:p>
        </w:tc>
        <w:tc>
          <w:tcPr>
            <w:tcW w:w="6969" w:type="dxa"/>
            <w:tcBorders>
              <w:top w:val="single" w:sz="7" w:space="0" w:color="000000"/>
              <w:left w:val="single" w:sz="7" w:space="0" w:color="000000"/>
              <w:bottom w:val="single" w:sz="7" w:space="0" w:color="000000"/>
              <w:right w:val="single" w:sz="7" w:space="0" w:color="000000"/>
            </w:tcBorders>
          </w:tcPr>
          <w:p w14:paraId="1F472942"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120"/>
              <w:ind w:right="57"/>
              <w:rPr>
                <w:color w:val="000000"/>
              </w:rPr>
            </w:pPr>
            <w:r>
              <w:rPr>
                <w:color w:val="000000"/>
              </w:rPr>
              <w:t xml:space="preserve">Too many fines (e.g., sawdust) adversely </w:t>
            </w:r>
            <w:r>
              <w:t>affect</w:t>
            </w:r>
            <w:r>
              <w:rPr>
                <w:color w:val="000000"/>
              </w:rPr>
              <w:t xml:space="preserve"> aeration by filling interstices when blended with paunch </w:t>
            </w:r>
            <w:r>
              <w:t>grass/sludges</w:t>
            </w:r>
            <w:r>
              <w:rPr>
                <w:color w:val="000000"/>
              </w:rPr>
              <w:t xml:space="preserve"> to make </w:t>
            </w:r>
            <w:r>
              <w:t xml:space="preserve">a </w:t>
            </w:r>
            <w:r>
              <w:rPr>
                <w:color w:val="000000"/>
              </w:rPr>
              <w:t>compost pile.</w:t>
            </w:r>
          </w:p>
        </w:tc>
      </w:tr>
      <w:tr w:rsidR="00EE2996" w14:paraId="13C0E2C5"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E766210"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1E9D0ACF"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Woodchip provides porosity, structure, and beneficial microbial activity, i.e., suitable texture for aeration and biological activity.</w:t>
            </w:r>
          </w:p>
          <w:p w14:paraId="09B4589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Particle size influences the bulk density.</w:t>
            </w:r>
          </w:p>
          <w:p w14:paraId="66B6F423"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Whilst sawdust generally has an economic advantage over bark-chips or </w:t>
            </w:r>
            <w:r>
              <w:t>woodchips</w:t>
            </w:r>
            <w:r>
              <w:rPr>
                <w:color w:val="000000"/>
              </w:rPr>
              <w:t xml:space="preserve"> it creates aeration issues through compaction </w:t>
            </w:r>
            <w:proofErr w:type="gramStart"/>
            <w:r>
              <w:rPr>
                <w:color w:val="000000"/>
              </w:rPr>
              <w:t>and also</w:t>
            </w:r>
            <w:proofErr w:type="gramEnd"/>
            <w:r>
              <w:rPr>
                <w:color w:val="000000"/>
              </w:rPr>
              <w:t xml:space="preserve"> results in a much lower grade product as a commercial soil conditioner or growing medium - woodchip provides for a longer retention of nitrogen in final saleable compost material.</w:t>
            </w:r>
          </w:p>
        </w:tc>
      </w:tr>
    </w:tbl>
    <w:p w14:paraId="69C8634D"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4796629B"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6F51A1C8" w14:textId="77777777" w:rsidR="00EE2996" w:rsidRDefault="00000000">
      <w:r>
        <w:br w:type="page"/>
      </w:r>
    </w:p>
    <w:p w14:paraId="29B86ED1"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tbl>
      <w:tblPr>
        <w:tblStyle w:val="af4"/>
        <w:tblW w:w="8555" w:type="dxa"/>
        <w:tblInd w:w="106" w:type="dxa"/>
        <w:tblLayout w:type="fixed"/>
        <w:tblLook w:val="0000" w:firstRow="0" w:lastRow="0" w:firstColumn="0" w:lastColumn="0" w:noHBand="0" w:noVBand="0"/>
      </w:tblPr>
      <w:tblGrid>
        <w:gridCol w:w="1586"/>
        <w:gridCol w:w="6969"/>
      </w:tblGrid>
      <w:tr w:rsidR="00EE2996" w14:paraId="6F705FBA"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238016D4"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Item</w:t>
            </w:r>
          </w:p>
        </w:tc>
        <w:tc>
          <w:tcPr>
            <w:tcW w:w="6969" w:type="dxa"/>
            <w:tcBorders>
              <w:top w:val="single" w:sz="7" w:space="0" w:color="000000"/>
              <w:left w:val="single" w:sz="7" w:space="0" w:color="000000"/>
              <w:bottom w:val="single" w:sz="7" w:space="0" w:color="000000"/>
              <w:right w:val="single" w:sz="7" w:space="0" w:color="000000"/>
            </w:tcBorders>
          </w:tcPr>
          <w:p w14:paraId="03F880C3"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MIXING: BLENDING WASTE WITH BULKING AGENT</w:t>
            </w:r>
          </w:p>
        </w:tc>
      </w:tr>
      <w:tr w:rsidR="00EE2996" w14:paraId="4F7EEDCA"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451546D3"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5C4AE7FD"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Organic waste material (</w:t>
            </w:r>
            <w:r>
              <w:t>sludge/paunch</w:t>
            </w:r>
            <w:r>
              <w:rPr>
                <w:color w:val="000000"/>
              </w:rPr>
              <w:t xml:space="preserve">) must be placed in </w:t>
            </w:r>
            <w:r>
              <w:t xml:space="preserve">a </w:t>
            </w:r>
            <w:r>
              <w:rPr>
                <w:color w:val="000000"/>
              </w:rPr>
              <w:t xml:space="preserve">mixing bunker on arrival </w:t>
            </w:r>
            <w:r>
              <w:t>at</w:t>
            </w:r>
            <w:r>
              <w:rPr>
                <w:color w:val="000000"/>
              </w:rPr>
              <w:t xml:space="preserve"> </w:t>
            </w:r>
            <w:r>
              <w:t xml:space="preserve">the </w:t>
            </w:r>
            <w:r>
              <w:rPr>
                <w:color w:val="000000"/>
              </w:rPr>
              <w:t xml:space="preserve">compost yard to ensure any leachate </w:t>
            </w:r>
            <w:r>
              <w:t>is</w:t>
            </w:r>
            <w:r>
              <w:rPr>
                <w:color w:val="000000"/>
              </w:rPr>
              <w:t xml:space="preserve"> directed to the leachate collection system</w:t>
            </w:r>
          </w:p>
          <w:p w14:paraId="40B2BEDC"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Organic waste material must be covered with </w:t>
            </w:r>
            <w:r>
              <w:t>woodchips</w:t>
            </w:r>
            <w:r>
              <w:rPr>
                <w:color w:val="000000"/>
              </w:rPr>
              <w:t xml:space="preserve"> </w:t>
            </w:r>
            <w:r>
              <w:t>in a mixing</w:t>
            </w:r>
            <w:r>
              <w:rPr>
                <w:color w:val="000000"/>
              </w:rPr>
              <w:t xml:space="preserve"> bunker as soon as possible. To reduce odour and seagull scavenging.</w:t>
            </w:r>
          </w:p>
          <w:p w14:paraId="2450D19E"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Mix waste material and woodchip ratio by volume 1:1.</w:t>
            </w:r>
          </w:p>
          <w:p w14:paraId="4B86701E"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The material</w:t>
            </w:r>
            <w:r>
              <w:rPr>
                <w:color w:val="000000"/>
              </w:rPr>
              <w:t xml:space="preserve"> </w:t>
            </w:r>
            <w:r>
              <w:t>must</w:t>
            </w:r>
            <w:r>
              <w:rPr>
                <w:color w:val="000000"/>
              </w:rPr>
              <w:t xml:space="preserve"> be well mixed to create a uniform blend, allowing for greater consistency </w:t>
            </w:r>
            <w:r>
              <w:t>in the composting</w:t>
            </w:r>
            <w:r>
              <w:rPr>
                <w:color w:val="000000"/>
              </w:rPr>
              <w:t xml:space="preserve"> process.</w:t>
            </w:r>
          </w:p>
          <w:p w14:paraId="7F8800F1" w14:textId="6F11A701"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The material</w:t>
            </w:r>
            <w:r>
              <w:rPr>
                <w:color w:val="000000"/>
              </w:rPr>
              <w:t xml:space="preserve"> </w:t>
            </w:r>
            <w:r>
              <w:t>in the mixing</w:t>
            </w:r>
            <w:r>
              <w:rPr>
                <w:color w:val="000000"/>
              </w:rPr>
              <w:t xml:space="preserve"> bunker prior to moving to </w:t>
            </w:r>
            <w:r>
              <w:t xml:space="preserve">the </w:t>
            </w:r>
            <w:r w:rsidR="005E22CA">
              <w:rPr>
                <w:color w:val="000000"/>
              </w:rPr>
              <w:t>windrow formation</w:t>
            </w:r>
            <w:r>
              <w:rPr>
                <w:color w:val="000000"/>
              </w:rPr>
              <w:t xml:space="preserve"> should not exceed 16 hours.</w:t>
            </w:r>
          </w:p>
          <w:p w14:paraId="1F9919C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Record </w:t>
            </w:r>
            <w:r>
              <w:t xml:space="preserve">the </w:t>
            </w:r>
            <w:r>
              <w:rPr>
                <w:color w:val="000000"/>
              </w:rPr>
              <w:t xml:space="preserve">volume of </w:t>
            </w:r>
            <w:r>
              <w:t xml:space="preserve">the </w:t>
            </w:r>
            <w:r>
              <w:rPr>
                <w:color w:val="000000"/>
              </w:rPr>
              <w:t xml:space="preserve">raw material loader diary and add </w:t>
            </w:r>
            <w:r>
              <w:t>it</w:t>
            </w:r>
            <w:r>
              <w:rPr>
                <w:color w:val="000000"/>
              </w:rPr>
              <w:t xml:space="preserve"> </w:t>
            </w:r>
            <w:r>
              <w:t xml:space="preserve">to </w:t>
            </w:r>
            <w:r>
              <w:rPr>
                <w:color w:val="000000"/>
              </w:rPr>
              <w:t>the RAW MATERIAL RECORD SPREADSHEET</w:t>
            </w:r>
          </w:p>
        </w:tc>
      </w:tr>
      <w:tr w:rsidR="00EE2996" w14:paraId="5ACFF5C7"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537539F2"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Hazard(s)</w:t>
            </w:r>
          </w:p>
        </w:tc>
        <w:tc>
          <w:tcPr>
            <w:tcW w:w="6969" w:type="dxa"/>
            <w:tcBorders>
              <w:top w:val="single" w:sz="7" w:space="0" w:color="000000"/>
              <w:left w:val="single" w:sz="7" w:space="0" w:color="000000"/>
              <w:bottom w:val="single" w:sz="7" w:space="0" w:color="000000"/>
              <w:right w:val="single" w:sz="7" w:space="0" w:color="000000"/>
            </w:tcBorders>
          </w:tcPr>
          <w:p w14:paraId="533CD167"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Odour - If incoming material is too rotten and odorous</w:t>
            </w:r>
            <w:r>
              <w:t>,</w:t>
            </w:r>
            <w:r>
              <w:rPr>
                <w:color w:val="000000"/>
              </w:rPr>
              <w:t xml:space="preserve"> it should be rejected and the client </w:t>
            </w:r>
            <w:r>
              <w:t>informed</w:t>
            </w:r>
            <w:r>
              <w:rPr>
                <w:color w:val="000000"/>
              </w:rPr>
              <w:t xml:space="preserve"> of the breach of agreement.</w:t>
            </w:r>
          </w:p>
          <w:p w14:paraId="5F3A4A1D"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Odour beyond the boundary of the operation is in breach of our consent</w:t>
            </w:r>
          </w:p>
          <w:p w14:paraId="5A3A1160"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If waste material is too wet</w:t>
            </w:r>
            <w:r>
              <w:t>,</w:t>
            </w:r>
            <w:r>
              <w:rPr>
                <w:color w:val="000000"/>
              </w:rPr>
              <w:t xml:space="preserve"> inform </w:t>
            </w:r>
            <w:r>
              <w:t xml:space="preserve">the </w:t>
            </w:r>
            <w:r>
              <w:rPr>
                <w:color w:val="000000"/>
              </w:rPr>
              <w:t xml:space="preserve">provider to ensure organic waste is suitable </w:t>
            </w:r>
            <w:r>
              <w:t>to receive</w:t>
            </w:r>
            <w:r>
              <w:rPr>
                <w:color w:val="000000"/>
              </w:rPr>
              <w:t xml:space="preserve"> (no </w:t>
            </w:r>
            <w:r>
              <w:t>free-flowing</w:t>
            </w:r>
            <w:r>
              <w:rPr>
                <w:color w:val="000000"/>
              </w:rPr>
              <w:t xml:space="preserve"> liquid)</w:t>
            </w:r>
          </w:p>
          <w:p w14:paraId="00B97DB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Too much moisture can impact </w:t>
            </w:r>
            <w:r>
              <w:t xml:space="preserve">the </w:t>
            </w:r>
            <w:r>
              <w:rPr>
                <w:color w:val="000000"/>
              </w:rPr>
              <w:t>compost process</w:t>
            </w:r>
            <w:r>
              <w:t>,</w:t>
            </w:r>
            <w:r>
              <w:rPr>
                <w:color w:val="000000"/>
              </w:rPr>
              <w:t xml:space="preserve"> reaching </w:t>
            </w:r>
            <w:r>
              <w:t xml:space="preserve">the </w:t>
            </w:r>
            <w:r>
              <w:rPr>
                <w:color w:val="000000"/>
              </w:rPr>
              <w:t>required temperatures</w:t>
            </w:r>
            <w:r>
              <w:t>,</w:t>
            </w:r>
            <w:r>
              <w:rPr>
                <w:color w:val="000000"/>
              </w:rPr>
              <w:t xml:space="preserve"> and can lead to excessive leaching</w:t>
            </w:r>
          </w:p>
          <w:p w14:paraId="6718E09F"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If organic waste material is not well mixed</w:t>
            </w:r>
            <w:r>
              <w:t>,</w:t>
            </w:r>
            <w:r>
              <w:rPr>
                <w:color w:val="000000"/>
              </w:rPr>
              <w:t xml:space="preserve"> it may impact the composting process</w:t>
            </w:r>
          </w:p>
          <w:p w14:paraId="406E195E"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If </w:t>
            </w:r>
            <w:proofErr w:type="gramStart"/>
            <w:r>
              <w:rPr>
                <w:color w:val="000000"/>
              </w:rPr>
              <w:t>not</w:t>
            </w:r>
            <w:proofErr w:type="gramEnd"/>
            <w:r>
              <w:rPr>
                <w:color w:val="000000"/>
              </w:rPr>
              <w:t xml:space="preserve"> enough woodchip is added</w:t>
            </w:r>
            <w:r>
              <w:t>,</w:t>
            </w:r>
            <w:r>
              <w:rPr>
                <w:color w:val="000000"/>
              </w:rPr>
              <w:t xml:space="preserve"> then the correct </w:t>
            </w:r>
            <w:r>
              <w:t>carbon-to-nitrogen</w:t>
            </w:r>
            <w:r>
              <w:rPr>
                <w:color w:val="000000"/>
              </w:rPr>
              <w:t xml:space="preserve"> ratio will not </w:t>
            </w:r>
            <w:r>
              <w:t>be met,</w:t>
            </w:r>
            <w:r>
              <w:rPr>
                <w:color w:val="000000"/>
              </w:rPr>
              <w:t xml:space="preserve"> impacting composting efficiency and nitrogen conversion, causing odour in the form of ammonia gas.</w:t>
            </w:r>
          </w:p>
        </w:tc>
      </w:tr>
      <w:tr w:rsidR="00EE2996" w14:paraId="3717D3F7"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714A9D5"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6EC448B6"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Woodchip is used as it creates large pore </w:t>
            </w:r>
            <w:r>
              <w:t>sizes</w:t>
            </w:r>
            <w:r>
              <w:rPr>
                <w:color w:val="000000"/>
              </w:rPr>
              <w:t xml:space="preserve"> in the mix to allow airflow</w:t>
            </w:r>
            <w:r>
              <w:t>.</w:t>
            </w:r>
            <w:r>
              <w:rPr>
                <w:color w:val="000000"/>
              </w:rPr>
              <w:t xml:space="preserve"> </w:t>
            </w:r>
          </w:p>
          <w:p w14:paraId="7B266387" w14:textId="04D024D8"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Moisture of blend when ready for transfer to </w:t>
            </w:r>
            <w:r w:rsidR="005E22CA">
              <w:rPr>
                <w:color w:val="000000"/>
              </w:rPr>
              <w:t>windrow</w:t>
            </w:r>
            <w:r>
              <w:rPr>
                <w:color w:val="000000"/>
              </w:rPr>
              <w:t xml:space="preserve">: Can be around </w:t>
            </w:r>
            <w:r>
              <w:t xml:space="preserve">the </w:t>
            </w:r>
            <w:r>
              <w:rPr>
                <w:color w:val="000000"/>
              </w:rPr>
              <w:t>water-holding capacity of the ingredients (60 to 65% (w/w))</w:t>
            </w:r>
          </w:p>
          <w:p w14:paraId="0AC5242A"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Proper mixing is essential - </w:t>
            </w:r>
            <w:r>
              <w:t xml:space="preserve">a </w:t>
            </w:r>
            <w:r>
              <w:rPr>
                <w:color w:val="000000"/>
              </w:rPr>
              <w:t xml:space="preserve">uniform homogenous mixture helps ensure effective aeration, avoiding preferential flow paths and potential pockets in an anaerobic state, i.e., without </w:t>
            </w:r>
            <w:proofErr w:type="gramStart"/>
            <w:r>
              <w:rPr>
                <w:color w:val="000000"/>
              </w:rPr>
              <w:t>air..</w:t>
            </w:r>
            <w:proofErr w:type="gramEnd"/>
          </w:p>
          <w:p w14:paraId="480904F2"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Ensuring adequate woodchip is used to achieve </w:t>
            </w:r>
            <w:r>
              <w:t xml:space="preserve">a </w:t>
            </w:r>
            <w:r>
              <w:rPr>
                <w:color w:val="000000"/>
              </w:rPr>
              <w:t xml:space="preserve">1:1 </w:t>
            </w:r>
            <w:r>
              <w:t xml:space="preserve">ratio </w:t>
            </w:r>
            <w:r>
              <w:rPr>
                <w:color w:val="000000"/>
              </w:rPr>
              <w:t xml:space="preserve">is essential to make sure the correct </w:t>
            </w:r>
            <w:r>
              <w:t>carbon-to-nitrogen</w:t>
            </w:r>
            <w:r>
              <w:rPr>
                <w:color w:val="000000"/>
              </w:rPr>
              <w:t xml:space="preserve"> ratio is achieved.</w:t>
            </w:r>
          </w:p>
          <w:p w14:paraId="1D0F9FC4"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Woodchip is also useful to help with </w:t>
            </w:r>
            <w:r>
              <w:t xml:space="preserve">the </w:t>
            </w:r>
            <w:r>
              <w:rPr>
                <w:color w:val="000000"/>
              </w:rPr>
              <w:t>absorption of any leachate from the raw material</w:t>
            </w:r>
          </w:p>
          <w:p w14:paraId="7B70F29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Mixing in the bunker will allow for heavy vehicle impacts to be managed in one location.</w:t>
            </w:r>
          </w:p>
        </w:tc>
      </w:tr>
    </w:tbl>
    <w:p w14:paraId="282B724A"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25CC4645" w14:textId="77777777" w:rsidR="00EE2996" w:rsidRDefault="00000000">
      <w:r>
        <w:br w:type="page"/>
      </w:r>
    </w:p>
    <w:p w14:paraId="28B08030"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tbl>
      <w:tblPr>
        <w:tblStyle w:val="af5"/>
        <w:tblW w:w="8555" w:type="dxa"/>
        <w:tblInd w:w="106" w:type="dxa"/>
        <w:tblLayout w:type="fixed"/>
        <w:tblLook w:val="0000" w:firstRow="0" w:lastRow="0" w:firstColumn="0" w:lastColumn="0" w:noHBand="0" w:noVBand="0"/>
      </w:tblPr>
      <w:tblGrid>
        <w:gridCol w:w="1586"/>
        <w:gridCol w:w="6969"/>
      </w:tblGrid>
      <w:tr w:rsidR="00EE2996" w14:paraId="2EC52300"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163270FB"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Item</w:t>
            </w:r>
          </w:p>
        </w:tc>
        <w:tc>
          <w:tcPr>
            <w:tcW w:w="6969" w:type="dxa"/>
            <w:tcBorders>
              <w:top w:val="single" w:sz="7" w:space="0" w:color="000000"/>
              <w:left w:val="single" w:sz="7" w:space="0" w:color="000000"/>
              <w:bottom w:val="single" w:sz="7" w:space="0" w:color="000000"/>
              <w:right w:val="single" w:sz="7" w:space="0" w:color="000000"/>
            </w:tcBorders>
          </w:tcPr>
          <w:p w14:paraId="282501DC"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BED PREPARATION</w:t>
            </w:r>
          </w:p>
        </w:tc>
      </w:tr>
      <w:tr w:rsidR="00EE2996" w14:paraId="26ADF0C8"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5BDC74D1"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337A4A2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Windrow area overlaid with a bed of woodchip:</w:t>
            </w:r>
          </w:p>
          <w:p w14:paraId="757B4D92"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Bed depth of 100 to 200 mm</w:t>
            </w:r>
          </w:p>
          <w:p w14:paraId="165BDBF8"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Lay </w:t>
            </w:r>
            <w:r>
              <w:t xml:space="preserve">the </w:t>
            </w:r>
            <w:r>
              <w:rPr>
                <w:color w:val="000000"/>
              </w:rPr>
              <w:t xml:space="preserve">bed in sections to prevent driving over </w:t>
            </w:r>
            <w:r>
              <w:t xml:space="preserve">the </w:t>
            </w:r>
            <w:r>
              <w:rPr>
                <w:color w:val="000000"/>
              </w:rPr>
              <w:t>base too often. (i.e. back right corner &gt; front right corner &gt; back left corner &gt; front left corner)</w:t>
            </w:r>
          </w:p>
          <w:p w14:paraId="5D126B5F"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Inspect </w:t>
            </w:r>
            <w:r>
              <w:t xml:space="preserve">the </w:t>
            </w:r>
            <w:r>
              <w:rPr>
                <w:color w:val="000000"/>
              </w:rPr>
              <w:t xml:space="preserve">leachate drains </w:t>
            </w:r>
            <w:r>
              <w:t xml:space="preserve">to ensure they </w:t>
            </w:r>
            <w:r>
              <w:rPr>
                <w:color w:val="000000"/>
              </w:rPr>
              <w:t>are clear</w:t>
            </w:r>
          </w:p>
        </w:tc>
      </w:tr>
      <w:tr w:rsidR="00EE2996" w14:paraId="274039FE"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9FAF741"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Placement of bark bed</w:t>
            </w:r>
          </w:p>
        </w:tc>
        <w:tc>
          <w:tcPr>
            <w:tcW w:w="6969" w:type="dxa"/>
            <w:tcBorders>
              <w:top w:val="single" w:sz="7" w:space="0" w:color="000000"/>
              <w:left w:val="single" w:sz="7" w:space="0" w:color="000000"/>
              <w:bottom w:val="single" w:sz="7" w:space="0" w:color="000000"/>
              <w:right w:val="single" w:sz="7" w:space="0" w:color="000000"/>
            </w:tcBorders>
          </w:tcPr>
          <w:p w14:paraId="2BEC6736" w14:textId="77777777" w:rsidR="00EE2996" w:rsidRDefault="00000000">
            <w:pPr>
              <w:tabs>
                <w:tab w:val="left" w:pos="-194"/>
                <w:tab w:val="left" w:pos="1349"/>
                <w:tab w:val="left" w:pos="1746"/>
                <w:tab w:val="left" w:pos="2312"/>
                <w:tab w:val="left" w:pos="2879"/>
                <w:tab w:val="left" w:pos="4354"/>
                <w:tab w:val="left" w:pos="6961"/>
              </w:tabs>
              <w:spacing w:before="120" w:after="120"/>
              <w:ind w:left="360" w:right="57"/>
              <w:jc w:val="center"/>
            </w:pPr>
            <w:r>
              <w:rPr>
                <w:noProof/>
              </w:rPr>
              <w:drawing>
                <wp:inline distT="0" distB="0" distL="0" distR="0" wp14:anchorId="2735EEBE" wp14:editId="5B14C171">
                  <wp:extent cx="2651949" cy="1006968"/>
                  <wp:effectExtent l="0" t="0" r="0" b="0"/>
                  <wp:docPr id="16288075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651949" cy="1006968"/>
                          </a:xfrm>
                          <a:prstGeom prst="rect">
                            <a:avLst/>
                          </a:prstGeom>
                          <a:ln/>
                        </pic:spPr>
                      </pic:pic>
                    </a:graphicData>
                  </a:graphic>
                </wp:inline>
              </w:drawing>
            </w:r>
          </w:p>
        </w:tc>
      </w:tr>
      <w:tr w:rsidR="00EE2996" w14:paraId="692FDF7A"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65FD81AA"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Hazard(s)</w:t>
            </w:r>
          </w:p>
        </w:tc>
        <w:tc>
          <w:tcPr>
            <w:tcW w:w="6969" w:type="dxa"/>
            <w:tcBorders>
              <w:top w:val="single" w:sz="7" w:space="0" w:color="000000"/>
              <w:left w:val="single" w:sz="7" w:space="0" w:color="000000"/>
              <w:bottom w:val="single" w:sz="7" w:space="0" w:color="000000"/>
              <w:right w:val="single" w:sz="7" w:space="0" w:color="000000"/>
            </w:tcBorders>
          </w:tcPr>
          <w:p w14:paraId="49644008"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Compaction adversely </w:t>
            </w:r>
            <w:r>
              <w:t>affects</w:t>
            </w:r>
            <w:r>
              <w:rPr>
                <w:color w:val="000000"/>
              </w:rPr>
              <w:t xml:space="preserve"> aeration and leachate collection</w:t>
            </w:r>
          </w:p>
          <w:p w14:paraId="25F9549D"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Uneven </w:t>
            </w:r>
            <w:r>
              <w:t>bases</w:t>
            </w:r>
            <w:r>
              <w:rPr>
                <w:color w:val="000000"/>
              </w:rPr>
              <w:t xml:space="preserve"> can impact air flow and may create pockets within composting material</w:t>
            </w:r>
            <w:r>
              <w:t>,</w:t>
            </w:r>
            <w:r>
              <w:rPr>
                <w:color w:val="000000"/>
              </w:rPr>
              <w:t xml:space="preserve"> creating hot and cold spots.</w:t>
            </w:r>
          </w:p>
        </w:tc>
      </w:tr>
      <w:tr w:rsidR="00EE2996" w14:paraId="06152574"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6C9D405B"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67BAD89E"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120"/>
              <w:ind w:right="57"/>
              <w:rPr>
                <w:color w:val="000000"/>
              </w:rPr>
            </w:pPr>
            <w:r>
              <w:rPr>
                <w:color w:val="000000"/>
              </w:rPr>
              <w:t xml:space="preserve">Minimise </w:t>
            </w:r>
            <w:r>
              <w:t xml:space="preserve">the </w:t>
            </w:r>
            <w:r>
              <w:rPr>
                <w:color w:val="000000"/>
              </w:rPr>
              <w:t xml:space="preserve">time loader on </w:t>
            </w:r>
            <w:r>
              <w:t xml:space="preserve">the </w:t>
            </w:r>
            <w:r>
              <w:rPr>
                <w:color w:val="000000"/>
              </w:rPr>
              <w:t xml:space="preserve">bark base to minimise compaction  </w:t>
            </w:r>
          </w:p>
        </w:tc>
      </w:tr>
    </w:tbl>
    <w:p w14:paraId="744A96DF"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6C8AF101"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294CA747" w14:textId="77777777" w:rsidR="00EE2996" w:rsidRDefault="00000000">
      <w:r>
        <w:br w:type="page"/>
      </w:r>
    </w:p>
    <w:p w14:paraId="7CBA28A1"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tbl>
      <w:tblPr>
        <w:tblStyle w:val="af6"/>
        <w:tblW w:w="8555" w:type="dxa"/>
        <w:tblInd w:w="106" w:type="dxa"/>
        <w:tblLayout w:type="fixed"/>
        <w:tblLook w:val="0000" w:firstRow="0" w:lastRow="0" w:firstColumn="0" w:lastColumn="0" w:noHBand="0" w:noVBand="0"/>
      </w:tblPr>
      <w:tblGrid>
        <w:gridCol w:w="1586"/>
        <w:gridCol w:w="6969"/>
      </w:tblGrid>
      <w:tr w:rsidR="00EE2996" w14:paraId="4B1A5681"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0CB5A087"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Item</w:t>
            </w:r>
          </w:p>
        </w:tc>
        <w:tc>
          <w:tcPr>
            <w:tcW w:w="6969" w:type="dxa"/>
            <w:tcBorders>
              <w:top w:val="single" w:sz="7" w:space="0" w:color="000000"/>
              <w:left w:val="single" w:sz="7" w:space="0" w:color="000000"/>
              <w:bottom w:val="single" w:sz="7" w:space="0" w:color="000000"/>
              <w:right w:val="single" w:sz="7" w:space="0" w:color="000000"/>
            </w:tcBorders>
          </w:tcPr>
          <w:p w14:paraId="2EDC0E38"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 xml:space="preserve">FORMING WINDROW </w:t>
            </w:r>
          </w:p>
        </w:tc>
      </w:tr>
      <w:tr w:rsidR="00EE2996" w14:paraId="6EEE7C91"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4C757CBD"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523F2B63"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t>The blended</w:t>
            </w:r>
            <w:r>
              <w:rPr>
                <w:color w:val="000000"/>
              </w:rPr>
              <w:t xml:space="preserve"> material is to be placed on the woodchip pad on top of </w:t>
            </w:r>
            <w:r>
              <w:t xml:space="preserve">the </w:t>
            </w:r>
            <w:r>
              <w:rPr>
                <w:color w:val="000000"/>
              </w:rPr>
              <w:t xml:space="preserve">pre-prepared woodchip base and formed </w:t>
            </w:r>
            <w:r>
              <w:t>into a windrow</w:t>
            </w:r>
            <w:r>
              <w:rPr>
                <w:color w:val="000000"/>
              </w:rPr>
              <w:t>.</w:t>
            </w:r>
          </w:p>
          <w:p w14:paraId="5C704ECD"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Height - 2.5 m</w:t>
            </w:r>
          </w:p>
          <w:p w14:paraId="5B8C0682"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Width – 7.5 m</w:t>
            </w:r>
          </w:p>
          <w:p w14:paraId="25E2829E"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Length - 18 to 20 m</w:t>
            </w:r>
          </w:p>
          <w:p w14:paraId="7DB9B59F"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Volume – 100 to 200 m</w:t>
            </w:r>
            <w:r>
              <w:rPr>
                <w:color w:val="000000"/>
                <w:vertAlign w:val="superscript"/>
              </w:rPr>
              <w:t>3</w:t>
            </w:r>
          </w:p>
          <w:p w14:paraId="587986E0"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Windrow overlaid with </w:t>
            </w:r>
            <w:r>
              <w:t xml:space="preserve">a </w:t>
            </w:r>
            <w:r>
              <w:rPr>
                <w:color w:val="000000"/>
              </w:rPr>
              <w:t>150 to 300 mm cover blanket of finished compost, either:</w:t>
            </w:r>
          </w:p>
          <w:p w14:paraId="493831CA"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screened</w:t>
            </w:r>
            <w:r>
              <w:t>,</w:t>
            </w:r>
            <w:r>
              <w:rPr>
                <w:color w:val="000000"/>
              </w:rPr>
              <w:t xml:space="preserve"> </w:t>
            </w:r>
            <w:r>
              <w:t>oversized</w:t>
            </w:r>
            <w:r>
              <w:rPr>
                <w:color w:val="000000"/>
              </w:rPr>
              <w:t xml:space="preserve"> finished </w:t>
            </w:r>
            <w:proofErr w:type="gramStart"/>
            <w:r>
              <w:rPr>
                <w:color w:val="000000"/>
              </w:rPr>
              <w:t>compost;</w:t>
            </w:r>
            <w:proofErr w:type="gramEnd"/>
          </w:p>
          <w:p w14:paraId="0BDAFA3D"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unscreened finished compost or</w:t>
            </w:r>
          </w:p>
          <w:p w14:paraId="6ABEA031"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woodchip</w:t>
            </w:r>
          </w:p>
          <w:p w14:paraId="2E14742F"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Temperature probe to be inserted into windrow(s)</w:t>
            </w:r>
            <w:r>
              <w:t>,</w:t>
            </w:r>
            <w:r>
              <w:rPr>
                <w:color w:val="000000"/>
              </w:rPr>
              <w:t xml:space="preserve"> record windrow temps:</w:t>
            </w:r>
          </w:p>
          <w:p w14:paraId="61B9F6A1"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½ way along </w:t>
            </w:r>
            <w:r>
              <w:t xml:space="preserve">the </w:t>
            </w:r>
            <w:r>
              <w:rPr>
                <w:color w:val="000000"/>
              </w:rPr>
              <w:t>windrow</w:t>
            </w:r>
          </w:p>
          <w:p w14:paraId="36376A3C"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½ way up </w:t>
            </w:r>
            <w:r>
              <w:t xml:space="preserve">the </w:t>
            </w:r>
            <w:r>
              <w:rPr>
                <w:color w:val="000000"/>
              </w:rPr>
              <w:t>windrow</w:t>
            </w:r>
          </w:p>
          <w:p w14:paraId="06F36148"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horizontally to a depth of 1 m - penetrating the inner composting pile</w:t>
            </w:r>
          </w:p>
          <w:p w14:paraId="41E7C6B2"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Ensure </w:t>
            </w:r>
            <w:r>
              <w:t xml:space="preserve">the </w:t>
            </w:r>
            <w:r>
              <w:rPr>
                <w:color w:val="000000"/>
              </w:rPr>
              <w:t xml:space="preserve">marker peg </w:t>
            </w:r>
            <w:r>
              <w:t xml:space="preserve">is </w:t>
            </w:r>
            <w:r>
              <w:rPr>
                <w:color w:val="000000"/>
              </w:rPr>
              <w:t xml:space="preserve">placed in </w:t>
            </w:r>
            <w:r>
              <w:t xml:space="preserve">the </w:t>
            </w:r>
            <w:r>
              <w:rPr>
                <w:color w:val="000000"/>
              </w:rPr>
              <w:t>pile:</w:t>
            </w:r>
          </w:p>
          <w:p w14:paraId="73BE75B3"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helps ensure traceability</w:t>
            </w:r>
          </w:p>
          <w:p w14:paraId="6CB64877"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 xml:space="preserve">The </w:t>
            </w:r>
            <w:r>
              <w:rPr>
                <w:color w:val="000000"/>
              </w:rPr>
              <w:t xml:space="preserve">marker peg is moved with the </w:t>
            </w:r>
            <w:r>
              <w:t>pile/windrow</w:t>
            </w:r>
            <w:r>
              <w:rPr>
                <w:color w:val="000000"/>
              </w:rPr>
              <w:t xml:space="preserve"> through the </w:t>
            </w:r>
            <w:r>
              <w:t>curing/maturation</w:t>
            </w:r>
            <w:r>
              <w:rPr>
                <w:color w:val="000000"/>
              </w:rPr>
              <w:t xml:space="preserve"> phase</w:t>
            </w:r>
          </w:p>
          <w:p w14:paraId="2806E190"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The window</w:t>
            </w:r>
            <w:r>
              <w:rPr>
                <w:color w:val="000000"/>
              </w:rPr>
              <w:t xml:space="preserve"> is not turned </w:t>
            </w:r>
            <w:r>
              <w:t>until the temperature</w:t>
            </w:r>
            <w:r>
              <w:rPr>
                <w:color w:val="000000"/>
              </w:rPr>
              <w:t xml:space="preserve"> reaches </w:t>
            </w:r>
            <w:r>
              <w:t>50</w:t>
            </w:r>
            <w:r>
              <w:rPr>
                <w:color w:val="000000"/>
              </w:rPr>
              <w:t>°C.</w:t>
            </w:r>
          </w:p>
          <w:p w14:paraId="2B080D2F"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t>The temperature</w:t>
            </w:r>
            <w:r>
              <w:rPr>
                <w:color w:val="000000"/>
              </w:rPr>
              <w:t xml:space="preserve"> should be reached within 1 week</w:t>
            </w:r>
          </w:p>
        </w:tc>
      </w:tr>
      <w:tr w:rsidR="00EE2996" w14:paraId="506E96CF"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4E2DC53B"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Placement of blended material</w:t>
            </w:r>
          </w:p>
        </w:tc>
        <w:tc>
          <w:tcPr>
            <w:tcW w:w="6969" w:type="dxa"/>
            <w:tcBorders>
              <w:top w:val="single" w:sz="7" w:space="0" w:color="000000"/>
              <w:left w:val="single" w:sz="7" w:space="0" w:color="000000"/>
              <w:bottom w:val="single" w:sz="7" w:space="0" w:color="000000"/>
              <w:right w:val="single" w:sz="7" w:space="0" w:color="000000"/>
            </w:tcBorders>
          </w:tcPr>
          <w:p w14:paraId="4CF43A54" w14:textId="77777777" w:rsidR="00EE2996" w:rsidRDefault="00000000">
            <w:pPr>
              <w:tabs>
                <w:tab w:val="left" w:pos="-194"/>
                <w:tab w:val="left" w:pos="1349"/>
                <w:tab w:val="left" w:pos="1746"/>
                <w:tab w:val="left" w:pos="2312"/>
                <w:tab w:val="left" w:pos="2879"/>
                <w:tab w:val="left" w:pos="4354"/>
                <w:tab w:val="left" w:pos="6961"/>
              </w:tabs>
              <w:spacing w:before="120" w:after="120"/>
              <w:ind w:right="57"/>
              <w:jc w:val="center"/>
            </w:pPr>
            <w:r>
              <w:rPr>
                <w:noProof/>
              </w:rPr>
              <w:drawing>
                <wp:inline distT="0" distB="0" distL="0" distR="0" wp14:anchorId="464E04C3" wp14:editId="3A197838">
                  <wp:extent cx="2289663" cy="1302508"/>
                  <wp:effectExtent l="0" t="0" r="0" b="0"/>
                  <wp:docPr id="16288075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289663" cy="1302508"/>
                          </a:xfrm>
                          <a:prstGeom prst="rect">
                            <a:avLst/>
                          </a:prstGeom>
                          <a:ln/>
                        </pic:spPr>
                      </pic:pic>
                    </a:graphicData>
                  </a:graphic>
                </wp:inline>
              </w:drawing>
            </w:r>
          </w:p>
        </w:tc>
      </w:tr>
      <w:tr w:rsidR="00EE2996" w14:paraId="778F66BB"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3D9C6B6D"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Placement of cover blanket of finished compost or wood chips</w:t>
            </w:r>
          </w:p>
        </w:tc>
        <w:tc>
          <w:tcPr>
            <w:tcW w:w="6969" w:type="dxa"/>
            <w:tcBorders>
              <w:top w:val="single" w:sz="7" w:space="0" w:color="000000"/>
              <w:left w:val="single" w:sz="7" w:space="0" w:color="000000"/>
              <w:bottom w:val="single" w:sz="7" w:space="0" w:color="000000"/>
              <w:right w:val="single" w:sz="7" w:space="0" w:color="000000"/>
            </w:tcBorders>
          </w:tcPr>
          <w:p w14:paraId="34D2017A" w14:textId="77777777" w:rsidR="00EE2996" w:rsidRDefault="00000000">
            <w:pPr>
              <w:tabs>
                <w:tab w:val="left" w:pos="-194"/>
                <w:tab w:val="left" w:pos="1349"/>
                <w:tab w:val="left" w:pos="1746"/>
                <w:tab w:val="left" w:pos="2312"/>
                <w:tab w:val="left" w:pos="2879"/>
                <w:tab w:val="left" w:pos="4354"/>
                <w:tab w:val="left" w:pos="6961"/>
              </w:tabs>
              <w:spacing w:before="120" w:after="120"/>
              <w:ind w:right="57"/>
              <w:jc w:val="center"/>
            </w:pPr>
            <w:r>
              <w:rPr>
                <w:noProof/>
              </w:rPr>
              <w:drawing>
                <wp:inline distT="0" distB="0" distL="0" distR="0" wp14:anchorId="7E25CBD7" wp14:editId="0B09EC99">
                  <wp:extent cx="2234612" cy="1321200"/>
                  <wp:effectExtent l="0" t="0" r="0" b="0"/>
                  <wp:docPr id="16288075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2234612" cy="1321200"/>
                          </a:xfrm>
                          <a:prstGeom prst="rect">
                            <a:avLst/>
                          </a:prstGeom>
                          <a:ln/>
                        </pic:spPr>
                      </pic:pic>
                    </a:graphicData>
                  </a:graphic>
                </wp:inline>
              </w:drawing>
            </w:r>
          </w:p>
        </w:tc>
      </w:tr>
      <w:tr w:rsidR="00EE2996" w14:paraId="700810E5"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536503BA"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lastRenderedPageBreak/>
              <w:t>Hazard(s)</w:t>
            </w:r>
          </w:p>
        </w:tc>
        <w:tc>
          <w:tcPr>
            <w:tcW w:w="6969" w:type="dxa"/>
            <w:tcBorders>
              <w:top w:val="single" w:sz="7" w:space="0" w:color="000000"/>
              <w:left w:val="single" w:sz="7" w:space="0" w:color="000000"/>
              <w:bottom w:val="single" w:sz="7" w:space="0" w:color="000000"/>
              <w:right w:val="single" w:sz="7" w:space="0" w:color="000000"/>
            </w:tcBorders>
          </w:tcPr>
          <w:p w14:paraId="654CD0B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Compaction adversely </w:t>
            </w:r>
            <w:r>
              <w:t>affects</w:t>
            </w:r>
            <w:r>
              <w:rPr>
                <w:color w:val="000000"/>
              </w:rPr>
              <w:t xml:space="preserve"> the evenness of pore size and </w:t>
            </w:r>
            <w:r>
              <w:t>airflow</w:t>
            </w:r>
            <w:r>
              <w:rPr>
                <w:color w:val="000000"/>
              </w:rPr>
              <w:t>.</w:t>
            </w:r>
          </w:p>
          <w:p w14:paraId="4EEF9D4C"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Uneven mixing and/or compaction during </w:t>
            </w:r>
            <w:r>
              <w:t xml:space="preserve">the </w:t>
            </w:r>
            <w:r>
              <w:rPr>
                <w:color w:val="000000"/>
              </w:rPr>
              <w:t xml:space="preserve">development of </w:t>
            </w:r>
            <w:r>
              <w:t xml:space="preserve">the </w:t>
            </w:r>
            <w:r>
              <w:rPr>
                <w:color w:val="000000"/>
              </w:rPr>
              <w:t>windrow heap may cause pockets within composting material creating hot and cold spots.</w:t>
            </w:r>
          </w:p>
          <w:p w14:paraId="59725BE0" w14:textId="7B245599"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If </w:t>
            </w:r>
            <w:r>
              <w:t xml:space="preserve">a </w:t>
            </w:r>
            <w:r>
              <w:rPr>
                <w:color w:val="000000"/>
              </w:rPr>
              <w:t xml:space="preserve">cover blanket of finished compost or wood chips is not applied, </w:t>
            </w:r>
            <w:r>
              <w:t xml:space="preserve">there is </w:t>
            </w:r>
            <w:r>
              <w:rPr>
                <w:color w:val="000000"/>
              </w:rPr>
              <w:t xml:space="preserve">potential for odours and/ or attracting birds during </w:t>
            </w:r>
            <w:r>
              <w:t xml:space="preserve">the </w:t>
            </w:r>
            <w:r w:rsidR="005E22CA">
              <w:rPr>
                <w:color w:val="000000"/>
              </w:rPr>
              <w:t xml:space="preserve">mesophilic / thermophilic </w:t>
            </w:r>
            <w:r>
              <w:rPr>
                <w:color w:val="000000"/>
              </w:rPr>
              <w:t>phase.</w:t>
            </w:r>
          </w:p>
          <w:p w14:paraId="133B9677"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t>The temperature</w:t>
            </w:r>
            <w:r>
              <w:rPr>
                <w:color w:val="000000"/>
              </w:rPr>
              <w:t xml:space="preserve"> of windrows could get too hot or cold if temperature probes are not inserted and monitored</w:t>
            </w:r>
            <w:r>
              <w:t>,</w:t>
            </w:r>
            <w:r>
              <w:rPr>
                <w:color w:val="000000"/>
              </w:rPr>
              <w:t xml:space="preserve"> even while forming </w:t>
            </w:r>
          </w:p>
        </w:tc>
      </w:tr>
      <w:tr w:rsidR="00EE2996" w14:paraId="45E6E7A2"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007D0DD7"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5888B344"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The concept of the static pile windrow is that </w:t>
            </w:r>
            <w:r>
              <w:t xml:space="preserve">the </w:t>
            </w:r>
            <w:r>
              <w:rPr>
                <w:color w:val="000000"/>
              </w:rPr>
              <w:t>dimensions of the pile</w:t>
            </w:r>
            <w:r>
              <w:t>,</w:t>
            </w:r>
            <w:r>
              <w:rPr>
                <w:color w:val="000000"/>
              </w:rPr>
              <w:t xml:space="preserve"> along with the </w:t>
            </w:r>
            <w:r>
              <w:t>well-mixed</w:t>
            </w:r>
            <w:r>
              <w:rPr>
                <w:color w:val="000000"/>
              </w:rPr>
              <w:t xml:space="preserve"> and porous nature of the feedstock</w:t>
            </w:r>
            <w:r>
              <w:t>,</w:t>
            </w:r>
            <w:r>
              <w:rPr>
                <w:color w:val="000000"/>
              </w:rPr>
              <w:t xml:space="preserve"> allow airflow through the pile via convection as the microorganisms begin decomposition of the organic material.</w:t>
            </w:r>
          </w:p>
          <w:p w14:paraId="0F52207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Formation of the windrow is the </w:t>
            </w:r>
            <w:r>
              <w:t>beginning</w:t>
            </w:r>
            <w:r>
              <w:rPr>
                <w:color w:val="000000"/>
              </w:rPr>
              <w:t xml:space="preserve"> mesophilic stage of the static pile composting process</w:t>
            </w:r>
            <w:r>
              <w:t>,</w:t>
            </w:r>
            <w:r>
              <w:rPr>
                <w:color w:val="000000"/>
              </w:rPr>
              <w:t xml:space="preserve"> when microorganisms break down organic materials</w:t>
            </w:r>
            <w:r>
              <w:t>,</w:t>
            </w:r>
            <w:r>
              <w:rPr>
                <w:color w:val="000000"/>
              </w:rPr>
              <w:t xml:space="preserve"> and the compost pile heats up</w:t>
            </w:r>
          </w:p>
          <w:p w14:paraId="5CB3E4E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Windrow size </w:t>
            </w:r>
            <w:proofErr w:type="gramStart"/>
            <w:r>
              <w:rPr>
                <w:color w:val="000000"/>
              </w:rPr>
              <w:t>has an effect on</w:t>
            </w:r>
            <w:proofErr w:type="gramEnd"/>
            <w:r>
              <w:rPr>
                <w:color w:val="000000"/>
              </w:rPr>
              <w:t xml:space="preserve"> the rate of composting - small </w:t>
            </w:r>
            <w:r>
              <w:t>piles are</w:t>
            </w:r>
            <w:r>
              <w:rPr>
                <w:color w:val="000000"/>
              </w:rPr>
              <w:t xml:space="preserve"> prone to excessive heat loss / large </w:t>
            </w:r>
            <w:r>
              <w:t>piles</w:t>
            </w:r>
            <w:r>
              <w:rPr>
                <w:color w:val="000000"/>
              </w:rPr>
              <w:t xml:space="preserve"> </w:t>
            </w:r>
            <w:r>
              <w:t>can be too</w:t>
            </w:r>
            <w:r>
              <w:rPr>
                <w:color w:val="000000"/>
              </w:rPr>
              <w:t xml:space="preserve"> hot or suffer compaction.</w:t>
            </w:r>
          </w:p>
          <w:p w14:paraId="7C610E76"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Minimise </w:t>
            </w:r>
            <w:r>
              <w:t xml:space="preserve">the </w:t>
            </w:r>
            <w:r>
              <w:rPr>
                <w:color w:val="000000"/>
              </w:rPr>
              <w:t>time loader on</w:t>
            </w:r>
            <w:r>
              <w:t xml:space="preserve"> </w:t>
            </w:r>
            <w:r>
              <w:rPr>
                <w:color w:val="000000"/>
              </w:rPr>
              <w:t xml:space="preserve">the bark base to minimise </w:t>
            </w:r>
            <w:r>
              <w:t xml:space="preserve">the </w:t>
            </w:r>
            <w:r>
              <w:rPr>
                <w:color w:val="000000"/>
              </w:rPr>
              <w:t>risk of compaction – load from the side.</w:t>
            </w:r>
          </w:p>
          <w:p w14:paraId="3274CCF0"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Covering with unscreened compost discourages birds, which can pick up material and drop them a distance away – </w:t>
            </w:r>
            <w:r>
              <w:t>reducing</w:t>
            </w:r>
            <w:r>
              <w:rPr>
                <w:color w:val="000000"/>
              </w:rPr>
              <w:t xml:space="preserve"> potential </w:t>
            </w:r>
            <w:r>
              <w:t>vectors</w:t>
            </w:r>
            <w:r>
              <w:rPr>
                <w:color w:val="000000"/>
              </w:rPr>
              <w:t>.</w:t>
            </w:r>
          </w:p>
        </w:tc>
      </w:tr>
    </w:tbl>
    <w:p w14:paraId="46510087"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2C8E0A3E" w14:textId="77777777" w:rsidR="00EE2996" w:rsidRDefault="00000000">
      <w:r>
        <w:br w:type="page"/>
      </w:r>
    </w:p>
    <w:p w14:paraId="602BC623"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tbl>
      <w:tblPr>
        <w:tblStyle w:val="af7"/>
        <w:tblW w:w="8555" w:type="dxa"/>
        <w:tblInd w:w="106" w:type="dxa"/>
        <w:tblLayout w:type="fixed"/>
        <w:tblLook w:val="0000" w:firstRow="0" w:lastRow="0" w:firstColumn="0" w:lastColumn="0" w:noHBand="0" w:noVBand="0"/>
      </w:tblPr>
      <w:tblGrid>
        <w:gridCol w:w="1586"/>
        <w:gridCol w:w="6969"/>
      </w:tblGrid>
      <w:tr w:rsidR="00EE2996" w14:paraId="3AC2D2CF"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0A5D0FD9"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Item</w:t>
            </w:r>
          </w:p>
        </w:tc>
        <w:tc>
          <w:tcPr>
            <w:tcW w:w="6969" w:type="dxa"/>
            <w:tcBorders>
              <w:top w:val="single" w:sz="7" w:space="0" w:color="000000"/>
              <w:left w:val="single" w:sz="7" w:space="0" w:color="000000"/>
              <w:bottom w:val="single" w:sz="7" w:space="0" w:color="000000"/>
              <w:right w:val="single" w:sz="7" w:space="0" w:color="000000"/>
            </w:tcBorders>
          </w:tcPr>
          <w:p w14:paraId="2F35B739"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THERMOPHILIC PHASE</w:t>
            </w:r>
          </w:p>
        </w:tc>
      </w:tr>
      <w:tr w:rsidR="00EE2996" w14:paraId="284C28B6"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5F1E2584"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22921C63"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t>Windrow</w:t>
            </w:r>
            <w:r>
              <w:rPr>
                <w:color w:val="000000"/>
              </w:rPr>
              <w:t xml:space="preserve"> temps are to be recorded daily </w:t>
            </w:r>
          </w:p>
          <w:p w14:paraId="5A57B6DD"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The time/temperature</w:t>
            </w:r>
            <w:r>
              <w:rPr>
                <w:color w:val="000000"/>
              </w:rPr>
              <w:t xml:space="preserve"> profile is recorded</w:t>
            </w:r>
          </w:p>
          <w:p w14:paraId="720F1F43"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Windrows </w:t>
            </w:r>
            <w:r>
              <w:t xml:space="preserve">are </w:t>
            </w:r>
            <w:r>
              <w:rPr>
                <w:color w:val="000000"/>
              </w:rPr>
              <w:t xml:space="preserve">to be at </w:t>
            </w:r>
            <w:r>
              <w:t xml:space="preserve">the </w:t>
            </w:r>
            <w:r>
              <w:rPr>
                <w:color w:val="000000"/>
              </w:rPr>
              <w:t>thermophilic temperature range within 7 days of windrow formation</w:t>
            </w:r>
          </w:p>
          <w:p w14:paraId="492F4B8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The thermophilic</w:t>
            </w:r>
            <w:r>
              <w:rPr>
                <w:color w:val="000000"/>
              </w:rPr>
              <w:t xml:space="preserve"> stage can last up to 2 months</w:t>
            </w:r>
          </w:p>
          <w:p w14:paraId="367102A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Windrows </w:t>
            </w:r>
            <w:r>
              <w:t xml:space="preserve">are </w:t>
            </w:r>
            <w:r>
              <w:rPr>
                <w:color w:val="000000"/>
              </w:rPr>
              <w:t xml:space="preserve">to be turned on </w:t>
            </w:r>
            <w:r>
              <w:t>an as-needed</w:t>
            </w:r>
            <w:r>
              <w:rPr>
                <w:color w:val="000000"/>
              </w:rPr>
              <w:t xml:space="preserve"> basis – ideally weekly</w:t>
            </w:r>
            <w:r>
              <w:t>,</w:t>
            </w:r>
            <w:r>
              <w:rPr>
                <w:color w:val="000000"/>
              </w:rPr>
              <w:t xml:space="preserve"> when in </w:t>
            </w:r>
            <w:r>
              <w:t xml:space="preserve">the </w:t>
            </w:r>
            <w:r>
              <w:rPr>
                <w:color w:val="000000"/>
              </w:rPr>
              <w:t>optimal temperature range</w:t>
            </w:r>
          </w:p>
          <w:p w14:paraId="287FE2F7"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Windrows are not to be turned when </w:t>
            </w:r>
            <w:r>
              <w:t xml:space="preserve">the </w:t>
            </w:r>
            <w:r>
              <w:rPr>
                <w:color w:val="000000"/>
              </w:rPr>
              <w:t>wind is blowing in the direction of neighbours</w:t>
            </w:r>
          </w:p>
          <w:p w14:paraId="4D32E1D7"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A windsock is to be installed next to </w:t>
            </w:r>
            <w:r>
              <w:t xml:space="preserve">the </w:t>
            </w:r>
            <w:r>
              <w:rPr>
                <w:color w:val="000000"/>
              </w:rPr>
              <w:t xml:space="preserve">compost yard and used to gauge </w:t>
            </w:r>
            <w:r>
              <w:t xml:space="preserve">the </w:t>
            </w:r>
            <w:r>
              <w:rPr>
                <w:color w:val="000000"/>
              </w:rPr>
              <w:t>suitability of wind direction before turning</w:t>
            </w:r>
          </w:p>
          <w:p w14:paraId="340ED337"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Optimum temperature range – 50 to 60°C</w:t>
            </w:r>
          </w:p>
          <w:p w14:paraId="37C9C437"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Destroy germination seeds in </w:t>
            </w:r>
            <w:r>
              <w:t xml:space="preserve">the </w:t>
            </w:r>
            <w:r>
              <w:rPr>
                <w:color w:val="000000"/>
              </w:rPr>
              <w:t>material</w:t>
            </w:r>
          </w:p>
          <w:p w14:paraId="527946A6"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Disinfects the compost</w:t>
            </w:r>
          </w:p>
          <w:p w14:paraId="119831E3"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Required to meet </w:t>
            </w:r>
            <w:r>
              <w:rPr>
                <w:i/>
                <w:color w:val="000000"/>
              </w:rPr>
              <w:t>NZS4454 “Composts, soil conditioners and mulches”</w:t>
            </w:r>
            <w:r>
              <w:rPr>
                <w:color w:val="000000"/>
              </w:rPr>
              <w:t xml:space="preserve"> to allow public sales (NZ Compost Standard for pasteurisation 55</w:t>
            </w:r>
            <w:r>
              <w:rPr>
                <w:color w:val="000000"/>
                <w:vertAlign w:val="superscript"/>
              </w:rPr>
              <w:t xml:space="preserve"> </w:t>
            </w:r>
            <w:r>
              <w:rPr>
                <w:color w:val="000000"/>
              </w:rPr>
              <w:t>°C + for at least 15 days)</w:t>
            </w:r>
          </w:p>
          <w:p w14:paraId="16BE944E" w14:textId="77777777" w:rsidR="00EE2996" w:rsidRDefault="00EE2996">
            <w:pPr>
              <w:tabs>
                <w:tab w:val="left" w:pos="-194"/>
                <w:tab w:val="left" w:pos="1349"/>
                <w:tab w:val="left" w:pos="1746"/>
                <w:tab w:val="left" w:pos="2312"/>
                <w:tab w:val="left" w:pos="2879"/>
                <w:tab w:val="left" w:pos="4354"/>
                <w:tab w:val="left" w:pos="6961"/>
              </w:tabs>
              <w:spacing w:before="120" w:after="120"/>
              <w:ind w:right="57"/>
            </w:pPr>
          </w:p>
        </w:tc>
      </w:tr>
      <w:tr w:rsidR="00EE2996" w14:paraId="56C84518"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0CC2A6B0" w14:textId="77777777" w:rsidR="00EE2996" w:rsidRDefault="00EE2996">
            <w:pPr>
              <w:tabs>
                <w:tab w:val="left" w:pos="-194"/>
                <w:tab w:val="left" w:pos="1349"/>
                <w:tab w:val="left" w:pos="1746"/>
                <w:tab w:val="left" w:pos="2312"/>
                <w:tab w:val="left" w:pos="2879"/>
                <w:tab w:val="left" w:pos="4354"/>
                <w:tab w:val="left" w:pos="6961"/>
              </w:tabs>
              <w:spacing w:before="120" w:after="120"/>
              <w:ind w:left="237" w:right="57" w:hanging="180"/>
              <w:jc w:val="center"/>
            </w:pPr>
          </w:p>
        </w:tc>
        <w:tc>
          <w:tcPr>
            <w:tcW w:w="6969" w:type="dxa"/>
            <w:tcBorders>
              <w:top w:val="single" w:sz="7" w:space="0" w:color="000000"/>
              <w:left w:val="single" w:sz="7" w:space="0" w:color="000000"/>
              <w:bottom w:val="single" w:sz="7" w:space="0" w:color="000000"/>
              <w:right w:val="single" w:sz="7" w:space="0" w:color="000000"/>
            </w:tcBorders>
          </w:tcPr>
          <w:p w14:paraId="228155E0" w14:textId="77777777" w:rsidR="00EE2996" w:rsidRDefault="00000000">
            <w:p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120"/>
              <w:ind w:left="720" w:right="57" w:hanging="360"/>
              <w:rPr>
                <w:color w:val="000000"/>
              </w:rPr>
            </w:pPr>
            <w:r>
              <w:rPr>
                <w:noProof/>
                <w:color w:val="000000"/>
              </w:rPr>
              <w:drawing>
                <wp:inline distT="0" distB="0" distL="0" distR="0" wp14:anchorId="16C655DE" wp14:editId="51D8E689">
                  <wp:extent cx="4272915" cy="3100705"/>
                  <wp:effectExtent l="0" t="0" r="0" b="0"/>
                  <wp:docPr id="16288075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272915" cy="3100705"/>
                          </a:xfrm>
                          <a:prstGeom prst="rect">
                            <a:avLst/>
                          </a:prstGeom>
                          <a:ln/>
                        </pic:spPr>
                      </pic:pic>
                    </a:graphicData>
                  </a:graphic>
                </wp:inline>
              </w:drawing>
            </w:r>
          </w:p>
        </w:tc>
      </w:tr>
      <w:tr w:rsidR="00EE2996" w14:paraId="18F8F7C6"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5C0F97F0"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lastRenderedPageBreak/>
              <w:t>Hazard(s)</w:t>
            </w:r>
          </w:p>
        </w:tc>
        <w:tc>
          <w:tcPr>
            <w:tcW w:w="6969" w:type="dxa"/>
            <w:tcBorders>
              <w:top w:val="single" w:sz="7" w:space="0" w:color="000000"/>
              <w:left w:val="single" w:sz="7" w:space="0" w:color="000000"/>
              <w:bottom w:val="single" w:sz="7" w:space="0" w:color="000000"/>
              <w:right w:val="single" w:sz="7" w:space="0" w:color="000000"/>
            </w:tcBorders>
          </w:tcPr>
          <w:p w14:paraId="5D44B371"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Odour – the first few turns of the windrows in the thermophilic phase </w:t>
            </w:r>
            <w:r>
              <w:t>pose</w:t>
            </w:r>
            <w:r>
              <w:rPr>
                <w:color w:val="000000"/>
              </w:rPr>
              <w:t xml:space="preserve"> the greatest risk of odours – ensure adequate </w:t>
            </w:r>
            <w:r>
              <w:t>temperatures</w:t>
            </w:r>
            <w:r>
              <w:rPr>
                <w:color w:val="000000"/>
              </w:rPr>
              <w:t xml:space="preserve"> are reached and wind conditions are suitable before turning</w:t>
            </w:r>
          </w:p>
          <w:p w14:paraId="2FA4ED6A"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Temperature greater than </w:t>
            </w:r>
            <w:r>
              <w:t>85 °C</w:t>
            </w:r>
            <w:r>
              <w:rPr>
                <w:color w:val="000000"/>
              </w:rPr>
              <w:t xml:space="preserve"> </w:t>
            </w:r>
            <w:r>
              <w:t xml:space="preserve">is </w:t>
            </w:r>
            <w:r>
              <w:rPr>
                <w:color w:val="000000"/>
              </w:rPr>
              <w:t>to be avoided:</w:t>
            </w:r>
          </w:p>
          <w:p w14:paraId="6534BC8B"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Risk</w:t>
            </w:r>
            <w:r>
              <w:rPr>
                <w:color w:val="000000"/>
              </w:rPr>
              <w:t xml:space="preserve"> of killing working bacteria</w:t>
            </w:r>
          </w:p>
          <w:p w14:paraId="333213D0"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Risk</w:t>
            </w:r>
            <w:r>
              <w:rPr>
                <w:color w:val="000000"/>
              </w:rPr>
              <w:t xml:space="preserve"> of combustion in </w:t>
            </w:r>
            <w:r>
              <w:t xml:space="preserve">the </w:t>
            </w:r>
            <w:r>
              <w:rPr>
                <w:color w:val="000000"/>
              </w:rPr>
              <w:t>pile</w:t>
            </w:r>
          </w:p>
          <w:p w14:paraId="232EDAF2"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Inefficient composting</w:t>
            </w:r>
          </w:p>
          <w:p w14:paraId="57923B3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The temperature</w:t>
            </w:r>
            <w:r>
              <w:rPr>
                <w:color w:val="000000"/>
              </w:rPr>
              <w:t xml:space="preserve"> </w:t>
            </w:r>
            <w:r>
              <w:t xml:space="preserve">is </w:t>
            </w:r>
            <w:r>
              <w:rPr>
                <w:color w:val="000000"/>
              </w:rPr>
              <w:t xml:space="preserve">not reaching </w:t>
            </w:r>
            <w:r>
              <w:t xml:space="preserve">the </w:t>
            </w:r>
            <w:r>
              <w:rPr>
                <w:color w:val="000000"/>
              </w:rPr>
              <w:t>optimal</w:t>
            </w:r>
            <w:r>
              <w:t xml:space="preserve"> level</w:t>
            </w:r>
            <w:r>
              <w:rPr>
                <w:color w:val="000000"/>
              </w:rPr>
              <w:t>:</w:t>
            </w:r>
          </w:p>
          <w:p w14:paraId="1FF6D439"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Incomplete</w:t>
            </w:r>
            <w:r>
              <w:rPr>
                <w:color w:val="000000"/>
              </w:rPr>
              <w:t xml:space="preserve"> destruction of pathogens</w:t>
            </w:r>
          </w:p>
          <w:p w14:paraId="5B38525E"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Odour</w:t>
            </w:r>
            <w:r>
              <w:rPr>
                <w:color w:val="000000"/>
              </w:rPr>
              <w:t xml:space="preserve"> generation – under anaerobic conditions</w:t>
            </w:r>
          </w:p>
          <w:p w14:paraId="1ABCBAD0"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pad failure</w:t>
            </w:r>
          </w:p>
          <w:p w14:paraId="55578F2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Uneven/minimal</w:t>
            </w:r>
            <w:r>
              <w:rPr>
                <w:color w:val="000000"/>
              </w:rPr>
              <w:t xml:space="preserve"> aeration may create poor composting and anaerobic conditions</w:t>
            </w:r>
            <w:r>
              <w:t>,</w:t>
            </w:r>
            <w:r>
              <w:rPr>
                <w:color w:val="000000"/>
              </w:rPr>
              <w:t xml:space="preserve"> creating odours</w:t>
            </w:r>
          </w:p>
          <w:p w14:paraId="1B1BEA51"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Poor thermophilic phase can result in </w:t>
            </w:r>
            <w:r>
              <w:t xml:space="preserve">a </w:t>
            </w:r>
            <w:r>
              <w:rPr>
                <w:color w:val="000000"/>
              </w:rPr>
              <w:t>longer maturation time to stabilise compost for sale</w:t>
            </w:r>
          </w:p>
        </w:tc>
      </w:tr>
      <w:tr w:rsidR="00EE2996" w14:paraId="5165A4FC"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2246324F"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7A04D032"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Internal temperature should reach 50°C in 7 days</w:t>
            </w:r>
          </w:p>
          <w:p w14:paraId="25B403A7"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&gt;50°C in 3 days, if not</w:t>
            </w:r>
            <w:r>
              <w:t>,</w:t>
            </w:r>
            <w:r>
              <w:rPr>
                <w:color w:val="000000"/>
              </w:rPr>
              <w:t xml:space="preserve"> then investigate, remix and reform </w:t>
            </w:r>
            <w:r>
              <w:t xml:space="preserve">the </w:t>
            </w:r>
            <w:r>
              <w:rPr>
                <w:color w:val="000000"/>
              </w:rPr>
              <w:t>windrow – potentially add new material</w:t>
            </w:r>
          </w:p>
          <w:p w14:paraId="05FCF051" w14:textId="3BF4C1E6"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Controlled temperatures via sufficient turning </w:t>
            </w:r>
            <w:r>
              <w:t>increase</w:t>
            </w:r>
            <w:r>
              <w:rPr>
                <w:color w:val="000000"/>
              </w:rPr>
              <w:t xml:space="preserve"> composting efficiency</w:t>
            </w:r>
            <w:r>
              <w:t>,</w:t>
            </w:r>
            <w:r>
              <w:rPr>
                <w:color w:val="000000"/>
              </w:rPr>
              <w:t xml:space="preserve"> and the time it takes to have a stabilised product </w:t>
            </w:r>
            <w:r>
              <w:t>is</w:t>
            </w:r>
            <w:r>
              <w:rPr>
                <w:color w:val="000000"/>
              </w:rPr>
              <w:t xml:space="preserve"> 6-12 months</w:t>
            </w:r>
            <w:r>
              <w:t>,</w:t>
            </w:r>
            <w:r>
              <w:rPr>
                <w:color w:val="000000"/>
              </w:rPr>
              <w:t xml:space="preserve"> as opposed </w:t>
            </w:r>
            <w:r>
              <w:t xml:space="preserve">to </w:t>
            </w:r>
            <w:r>
              <w:rPr>
                <w:color w:val="000000"/>
              </w:rPr>
              <w:t xml:space="preserve">18 months </w:t>
            </w:r>
          </w:p>
          <w:p w14:paraId="539C1450"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Temperature management is the main process variable by which the </w:t>
            </w:r>
            <w:r>
              <w:t>composting</w:t>
            </w:r>
            <w:r>
              <w:rPr>
                <w:color w:val="000000"/>
              </w:rPr>
              <w:t xml:space="preserve"> process will be managed – pH, moisture content, and oxygen concentration measurements can be taken if compost performance </w:t>
            </w:r>
            <w:r>
              <w:t>falls</w:t>
            </w:r>
            <w:r>
              <w:rPr>
                <w:color w:val="000000"/>
              </w:rPr>
              <w:t xml:space="preserve"> outside of the prescribed operating conditions (i.e. temperature and odour).</w:t>
            </w:r>
          </w:p>
          <w:p w14:paraId="25C42671"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Besides adequate mixing and recipe development to ensure correct </w:t>
            </w:r>
            <w:r>
              <w:t>carbon-to-nitrogen</w:t>
            </w:r>
            <w:r>
              <w:rPr>
                <w:color w:val="000000"/>
              </w:rPr>
              <w:t xml:space="preserve"> ratios and pH levels are achieved, temperature is the most important variable to control as it will drive moisture, oxygen and pH performance in the piles.</w:t>
            </w:r>
          </w:p>
          <w:p w14:paraId="71038DAC"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Turning piles </w:t>
            </w:r>
            <w:r>
              <w:t>add</w:t>
            </w:r>
            <w:r>
              <w:rPr>
                <w:color w:val="000000"/>
              </w:rPr>
              <w:t xml:space="preserve"> oxygen to the pile, </w:t>
            </w:r>
            <w:proofErr w:type="gramStart"/>
            <w:r>
              <w:rPr>
                <w:color w:val="000000"/>
              </w:rPr>
              <w:t>moderates</w:t>
            </w:r>
            <w:proofErr w:type="gramEnd"/>
            <w:r>
              <w:rPr>
                <w:color w:val="000000"/>
              </w:rPr>
              <w:t xml:space="preserve"> temperatures by releasing heat and </w:t>
            </w:r>
            <w:r>
              <w:t>provides</w:t>
            </w:r>
            <w:r>
              <w:rPr>
                <w:color w:val="000000"/>
              </w:rPr>
              <w:t xml:space="preserve"> aerobic conditions for beneficial microorganisms, </w:t>
            </w:r>
            <w:r>
              <w:t>ensuring</w:t>
            </w:r>
            <w:r>
              <w:rPr>
                <w:color w:val="000000"/>
              </w:rPr>
              <w:t xml:space="preserve"> moisture is retained in the pile by stopping it </w:t>
            </w:r>
            <w:r>
              <w:t xml:space="preserve">from </w:t>
            </w:r>
            <w:r>
              <w:rPr>
                <w:color w:val="000000"/>
              </w:rPr>
              <w:t>drying out.</w:t>
            </w:r>
          </w:p>
          <w:p w14:paraId="305EEA6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A properly running heap will likely billow steam on cooler days</w:t>
            </w:r>
          </w:p>
          <w:p w14:paraId="4453796A"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By the time the windrows are at temperature and have been turned a few times</w:t>
            </w:r>
            <w:r>
              <w:t>,</w:t>
            </w:r>
            <w:r>
              <w:rPr>
                <w:color w:val="000000"/>
              </w:rPr>
              <w:t xml:space="preserve"> the risk of odour will be </w:t>
            </w:r>
            <w:proofErr w:type="gramStart"/>
            <w:r>
              <w:t>decreased</w:t>
            </w:r>
            <w:proofErr w:type="gramEnd"/>
            <w:r>
              <w:rPr>
                <w:color w:val="000000"/>
              </w:rPr>
              <w:t xml:space="preserve"> and the compost will develop a sweet, earthy smell – flies and birds are no longer attracted.</w:t>
            </w:r>
          </w:p>
        </w:tc>
      </w:tr>
    </w:tbl>
    <w:p w14:paraId="43772A58"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4DA040CB" w14:textId="77777777" w:rsidR="00EE2996" w:rsidRDefault="00000000">
      <w:r>
        <w:br w:type="page"/>
      </w:r>
    </w:p>
    <w:p w14:paraId="17E288E2"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tbl>
      <w:tblPr>
        <w:tblStyle w:val="af8"/>
        <w:tblW w:w="8555" w:type="dxa"/>
        <w:tblInd w:w="106" w:type="dxa"/>
        <w:tblLayout w:type="fixed"/>
        <w:tblLook w:val="0000" w:firstRow="0" w:lastRow="0" w:firstColumn="0" w:lastColumn="0" w:noHBand="0" w:noVBand="0"/>
      </w:tblPr>
      <w:tblGrid>
        <w:gridCol w:w="1586"/>
        <w:gridCol w:w="6969"/>
      </w:tblGrid>
      <w:tr w:rsidR="00EE2996" w14:paraId="79B6D073"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68AA1779"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Item</w:t>
            </w:r>
          </w:p>
        </w:tc>
        <w:tc>
          <w:tcPr>
            <w:tcW w:w="6969" w:type="dxa"/>
            <w:tcBorders>
              <w:top w:val="single" w:sz="7" w:space="0" w:color="000000"/>
              <w:left w:val="single" w:sz="7" w:space="0" w:color="000000"/>
              <w:bottom w:val="single" w:sz="7" w:space="0" w:color="000000"/>
              <w:right w:val="single" w:sz="7" w:space="0" w:color="000000"/>
            </w:tcBorders>
          </w:tcPr>
          <w:p w14:paraId="605360D6"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CURING PILE / MATURATION PILE</w:t>
            </w:r>
          </w:p>
        </w:tc>
      </w:tr>
      <w:tr w:rsidR="00EE2996" w14:paraId="12C3D590"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567BC64"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27B348D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Once thermophilic temperatures become harder to maintain:</w:t>
            </w:r>
          </w:p>
          <w:p w14:paraId="23FDDAA3"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Combine two thermophilic piles to create one maturation pile – 3 to 4 m high.</w:t>
            </w:r>
          </w:p>
          <w:p w14:paraId="5CB96F16"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Mix piles to ensure all material is well combined </w:t>
            </w:r>
          </w:p>
          <w:p w14:paraId="50E790F5"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Keep transfer and mixing to a minimum on a windy day</w:t>
            </w:r>
          </w:p>
          <w:p w14:paraId="5EB0EB68"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Turn </w:t>
            </w:r>
            <w:r>
              <w:t xml:space="preserve">the </w:t>
            </w:r>
            <w:r>
              <w:rPr>
                <w:color w:val="000000"/>
              </w:rPr>
              <w:t>windrow every 2 to 4 weeks for 6 to 8 turns to help release heat / add air to the pile, prevent anaerobic activity and continue thorough mixing of materials.</w:t>
            </w:r>
          </w:p>
          <w:p w14:paraId="4443DDE8"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Ensure </w:t>
            </w:r>
            <w:r>
              <w:t xml:space="preserve">the </w:t>
            </w:r>
            <w:r>
              <w:rPr>
                <w:color w:val="000000"/>
              </w:rPr>
              <w:t xml:space="preserve">marker peg </w:t>
            </w:r>
            <w:r>
              <w:t xml:space="preserve">is </w:t>
            </w:r>
            <w:r>
              <w:rPr>
                <w:color w:val="000000"/>
              </w:rPr>
              <w:t xml:space="preserve">moved and placed in </w:t>
            </w:r>
            <w:r>
              <w:t>the curing/maturation</w:t>
            </w:r>
            <w:r>
              <w:rPr>
                <w:color w:val="000000"/>
              </w:rPr>
              <w:t xml:space="preserve"> pile, including moving and re-placing when </w:t>
            </w:r>
            <w:r>
              <w:t xml:space="preserve">the </w:t>
            </w:r>
            <w:r>
              <w:rPr>
                <w:color w:val="000000"/>
              </w:rPr>
              <w:t>pile is turned</w:t>
            </w:r>
          </w:p>
          <w:p w14:paraId="7AA4E10C"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Manually monitor temperature on a weekly basis and record</w:t>
            </w:r>
          </w:p>
          <w:p w14:paraId="225A8C6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Any stockpiled cured compost should be turned every 4 to 6 months</w:t>
            </w:r>
          </w:p>
          <w:p w14:paraId="06C96626"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Test for completion of maturation:</w:t>
            </w:r>
          </w:p>
          <w:p w14:paraId="776076A6"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ammonia</w:t>
            </w:r>
          </w:p>
          <w:p w14:paraId="4AB4BD02"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nitrate-nitrogen</w:t>
            </w:r>
          </w:p>
        </w:tc>
      </w:tr>
      <w:tr w:rsidR="00EE2996" w14:paraId="4E14D4AB"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DE4B500"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Hazard(s)</w:t>
            </w:r>
          </w:p>
        </w:tc>
        <w:tc>
          <w:tcPr>
            <w:tcW w:w="6969" w:type="dxa"/>
            <w:tcBorders>
              <w:top w:val="single" w:sz="7" w:space="0" w:color="000000"/>
              <w:left w:val="single" w:sz="7" w:space="0" w:color="000000"/>
              <w:bottom w:val="single" w:sz="7" w:space="0" w:color="000000"/>
              <w:right w:val="single" w:sz="7" w:space="0" w:color="000000"/>
            </w:tcBorders>
          </w:tcPr>
          <w:p w14:paraId="4A00A9F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Reaction slowing down – once </w:t>
            </w:r>
            <w:r>
              <w:t xml:space="preserve">the </w:t>
            </w:r>
            <w:r>
              <w:rPr>
                <w:color w:val="000000"/>
              </w:rPr>
              <w:t>process stops</w:t>
            </w:r>
            <w:r>
              <w:t>, it is</w:t>
            </w:r>
            <w:r>
              <w:rPr>
                <w:color w:val="000000"/>
              </w:rPr>
              <w:t xml:space="preserve"> </w:t>
            </w:r>
            <w:r>
              <w:t>hard</w:t>
            </w:r>
            <w:r>
              <w:rPr>
                <w:color w:val="000000"/>
              </w:rPr>
              <w:t xml:space="preserve"> to restart</w:t>
            </w:r>
          </w:p>
          <w:p w14:paraId="1685A1BB"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Uneven/minimal</w:t>
            </w:r>
            <w:r>
              <w:rPr>
                <w:color w:val="000000"/>
              </w:rPr>
              <w:t xml:space="preserve"> aeration may result in poor composting and anaerobic conditions</w:t>
            </w:r>
            <w:r>
              <w:t>,</w:t>
            </w:r>
            <w:r>
              <w:rPr>
                <w:color w:val="000000"/>
              </w:rPr>
              <w:t xml:space="preserve"> creating odours</w:t>
            </w:r>
          </w:p>
          <w:p w14:paraId="1F9A4878"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Turning may </w:t>
            </w:r>
            <w:r>
              <w:t>reintroduce</w:t>
            </w:r>
            <w:r>
              <w:rPr>
                <w:color w:val="000000"/>
              </w:rPr>
              <w:t xml:space="preserve"> pathogens, which survive in cooler zones.</w:t>
            </w:r>
          </w:p>
          <w:p w14:paraId="7CDAECA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If test results show </w:t>
            </w:r>
            <w:r>
              <w:t xml:space="preserve">the </w:t>
            </w:r>
            <w:r>
              <w:rPr>
                <w:color w:val="000000"/>
              </w:rPr>
              <w:t>pile is not mature:</w:t>
            </w:r>
          </w:p>
          <w:p w14:paraId="75B579F6"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t>Place</w:t>
            </w:r>
            <w:r>
              <w:rPr>
                <w:color w:val="000000"/>
              </w:rPr>
              <w:t xml:space="preserve"> the pile back several turns in the cycle</w:t>
            </w:r>
          </w:p>
        </w:tc>
      </w:tr>
      <w:tr w:rsidR="00EE2996" w14:paraId="6BEB1636"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102F792B"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08482052"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The maturing stage allows the material to be physically broken up and composting to continue until a state of stability is reached:</w:t>
            </w:r>
          </w:p>
          <w:p w14:paraId="520C9805"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 Curing allows the remaining organisms to convert any ammonia to nitrates – mature compost has nitrate-nitrogen greater than ammonia.</w:t>
            </w:r>
          </w:p>
          <w:p w14:paraId="4830D46D"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When compost is mature, it </w:t>
            </w:r>
            <w:r>
              <w:t>should have a good</w:t>
            </w:r>
            <w:r>
              <w:rPr>
                <w:color w:val="000000"/>
              </w:rPr>
              <w:t xml:space="preserve"> earthy smell (no sharp ammonia) and be a dark</w:t>
            </w:r>
            <w:r>
              <w:t>,</w:t>
            </w:r>
            <w:r>
              <w:rPr>
                <w:color w:val="000000"/>
              </w:rPr>
              <w:t xml:space="preserve"> rich colour.</w:t>
            </w:r>
          </w:p>
          <w:p w14:paraId="145246EC"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A ring of white </w:t>
            </w:r>
            <w:r>
              <w:t>ash-like</w:t>
            </w:r>
            <w:r>
              <w:rPr>
                <w:color w:val="000000"/>
              </w:rPr>
              <w:t xml:space="preserve"> material near the outside of the windrow is a sign </w:t>
            </w:r>
            <w:r>
              <w:t xml:space="preserve">that </w:t>
            </w:r>
            <w:r>
              <w:rPr>
                <w:color w:val="000000"/>
              </w:rPr>
              <w:t xml:space="preserve">the </w:t>
            </w:r>
            <w:r>
              <w:t>composting</w:t>
            </w:r>
            <w:r>
              <w:rPr>
                <w:color w:val="000000"/>
              </w:rPr>
              <w:t xml:space="preserve"> process is working well and is a </w:t>
            </w:r>
            <w:r>
              <w:t>fungi-like</w:t>
            </w:r>
            <w:r>
              <w:rPr>
                <w:color w:val="000000"/>
              </w:rPr>
              <w:t xml:space="preserve"> </w:t>
            </w:r>
            <w:r>
              <w:t>microorganism</w:t>
            </w:r>
            <w:r>
              <w:rPr>
                <w:color w:val="000000"/>
              </w:rPr>
              <w:t xml:space="preserve">. </w:t>
            </w:r>
          </w:p>
          <w:p w14:paraId="33777FBC"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Temperature monitoring ensures optimal processing has occurred. Temperature should decrease over time</w:t>
            </w:r>
          </w:p>
          <w:p w14:paraId="0A6C2B63" w14:textId="09FB9B2A"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Conditions for maturing pile size are different from those for </w:t>
            </w:r>
            <w:r w:rsidR="005E22CA">
              <w:rPr>
                <w:color w:val="000000"/>
              </w:rPr>
              <w:t>thermophilic stage</w:t>
            </w:r>
            <w:r>
              <w:rPr>
                <w:color w:val="000000"/>
              </w:rPr>
              <w:t>:</w:t>
            </w:r>
          </w:p>
          <w:p w14:paraId="72C93181"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Larger</w:t>
            </w:r>
            <w:r>
              <w:rPr>
                <w:color w:val="000000"/>
              </w:rPr>
              <w:t xml:space="preserve"> piles continue composting faster for longer than small piles</w:t>
            </w:r>
          </w:p>
          <w:p w14:paraId="2B7D1913"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achieve product stability and maturity sooner</w:t>
            </w:r>
          </w:p>
          <w:p w14:paraId="7937C770"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Turning ensures all material goes through </w:t>
            </w:r>
            <w:r>
              <w:t>the composting process</w:t>
            </w:r>
            <w:r>
              <w:rPr>
                <w:color w:val="000000"/>
              </w:rPr>
              <w:t xml:space="preserve"> in the </w:t>
            </w:r>
            <w:r>
              <w:t>pile's</w:t>
            </w:r>
            <w:r>
              <w:rPr>
                <w:color w:val="000000"/>
              </w:rPr>
              <w:t xml:space="preserve"> interior and breaks up any lumps that may form</w:t>
            </w:r>
          </w:p>
        </w:tc>
      </w:tr>
    </w:tbl>
    <w:p w14:paraId="34BFFFA4" w14:textId="77777777" w:rsidR="00EE2996" w:rsidRDefault="00000000">
      <w:r>
        <w:br w:type="page"/>
      </w:r>
    </w:p>
    <w:p w14:paraId="44BF1151"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tbl>
      <w:tblPr>
        <w:tblStyle w:val="af9"/>
        <w:tblW w:w="8555" w:type="dxa"/>
        <w:tblInd w:w="106" w:type="dxa"/>
        <w:tblLayout w:type="fixed"/>
        <w:tblLook w:val="0000" w:firstRow="0" w:lastRow="0" w:firstColumn="0" w:lastColumn="0" w:noHBand="0" w:noVBand="0"/>
      </w:tblPr>
      <w:tblGrid>
        <w:gridCol w:w="1586"/>
        <w:gridCol w:w="6969"/>
      </w:tblGrid>
      <w:tr w:rsidR="00EE2996" w14:paraId="2680E833"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10828FD"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Item</w:t>
            </w:r>
          </w:p>
        </w:tc>
        <w:tc>
          <w:tcPr>
            <w:tcW w:w="6969" w:type="dxa"/>
            <w:tcBorders>
              <w:top w:val="single" w:sz="7" w:space="0" w:color="000000"/>
              <w:left w:val="single" w:sz="7" w:space="0" w:color="000000"/>
              <w:bottom w:val="single" w:sz="7" w:space="0" w:color="000000"/>
              <w:right w:val="single" w:sz="7" w:space="0" w:color="000000"/>
            </w:tcBorders>
          </w:tcPr>
          <w:p w14:paraId="61196692"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SCREEN CURED COMPOST</w:t>
            </w:r>
          </w:p>
        </w:tc>
      </w:tr>
      <w:tr w:rsidR="00EE2996" w14:paraId="15320CDF"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3A58BB5A"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791848D4"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Screen the </w:t>
            </w:r>
            <w:r>
              <w:t>cured/matured</w:t>
            </w:r>
            <w:r>
              <w:rPr>
                <w:color w:val="000000"/>
              </w:rPr>
              <w:t xml:space="preserve"> compost in preparation for sale:</w:t>
            </w:r>
          </w:p>
          <w:p w14:paraId="33AEE4C1"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screen size around 6mm</w:t>
            </w:r>
          </w:p>
          <w:p w14:paraId="578A7DC7"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screened</w:t>
            </w:r>
            <w:r>
              <w:t>,</w:t>
            </w:r>
            <w:r>
              <w:rPr>
                <w:color w:val="000000"/>
              </w:rPr>
              <w:t xml:space="preserve"> stored</w:t>
            </w:r>
            <w:r>
              <w:t>,</w:t>
            </w:r>
            <w:r>
              <w:rPr>
                <w:color w:val="000000"/>
              </w:rPr>
              <w:t xml:space="preserve"> ready for sale</w:t>
            </w:r>
          </w:p>
          <w:p w14:paraId="770827F0" w14:textId="66B30D6E"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tailings stored for use as cover for </w:t>
            </w:r>
            <w:proofErr w:type="gramStart"/>
            <w:r>
              <w:t>an</w:t>
            </w:r>
            <w:proofErr w:type="gramEnd"/>
            <w:r>
              <w:t xml:space="preserve"> </w:t>
            </w:r>
            <w:r w:rsidR="005E22CA">
              <w:rPr>
                <w:color w:val="000000"/>
              </w:rPr>
              <w:t>thermophili</w:t>
            </w:r>
            <w:r>
              <w:rPr>
                <w:color w:val="000000"/>
              </w:rPr>
              <w:t xml:space="preserve"> pile </w:t>
            </w:r>
          </w:p>
          <w:p w14:paraId="0EF10A91"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Any stockpiled compost should be turned every 4 to 6 months to maintain </w:t>
            </w:r>
            <w:r>
              <w:t xml:space="preserve">an </w:t>
            </w:r>
            <w:r>
              <w:rPr>
                <w:color w:val="000000"/>
              </w:rPr>
              <w:t>aerobic state</w:t>
            </w:r>
          </w:p>
          <w:p w14:paraId="502F1133"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Ensure </w:t>
            </w:r>
            <w:r>
              <w:t xml:space="preserve">the </w:t>
            </w:r>
            <w:r>
              <w:rPr>
                <w:color w:val="000000"/>
              </w:rPr>
              <w:t xml:space="preserve">marker peg </w:t>
            </w:r>
            <w:r>
              <w:t xml:space="preserve">is </w:t>
            </w:r>
            <w:r>
              <w:rPr>
                <w:color w:val="000000"/>
              </w:rPr>
              <w:t xml:space="preserve">placed in </w:t>
            </w:r>
            <w:r>
              <w:t xml:space="preserve">the </w:t>
            </w:r>
            <w:r>
              <w:rPr>
                <w:color w:val="000000"/>
              </w:rPr>
              <w:t>cured pile:</w:t>
            </w:r>
          </w:p>
          <w:p w14:paraId="38B3B808"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t>Ensures</w:t>
            </w:r>
            <w:r>
              <w:rPr>
                <w:color w:val="000000"/>
              </w:rPr>
              <w:t xml:space="preserve"> production </w:t>
            </w:r>
            <w:r>
              <w:t>records</w:t>
            </w:r>
            <w:r>
              <w:rPr>
                <w:color w:val="000000"/>
              </w:rPr>
              <w:t xml:space="preserve"> for any sales</w:t>
            </w:r>
          </w:p>
          <w:p w14:paraId="61A7D0F6"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ensures </w:t>
            </w:r>
            <w:r>
              <w:t xml:space="preserve">a </w:t>
            </w:r>
            <w:r>
              <w:rPr>
                <w:color w:val="000000"/>
              </w:rPr>
              <w:t>log of tailings re-use</w:t>
            </w:r>
          </w:p>
          <w:p w14:paraId="7E086732"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Prior to sale</w:t>
            </w:r>
            <w:r>
              <w:t>,</w:t>
            </w:r>
            <w:r>
              <w:rPr>
                <w:color w:val="000000"/>
              </w:rPr>
              <w:t xml:space="preserve"> ensure cured and screened compost is sampled and tested:</w:t>
            </w:r>
          </w:p>
          <w:p w14:paraId="236BF6B5"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One sample per 500 m</w:t>
            </w:r>
            <w:r>
              <w:rPr>
                <w:color w:val="000000"/>
                <w:vertAlign w:val="superscript"/>
              </w:rPr>
              <w:t>3</w:t>
            </w:r>
            <w:r>
              <w:rPr>
                <w:color w:val="000000"/>
              </w:rPr>
              <w:t xml:space="preserve"> of screened compost</w:t>
            </w:r>
          </w:p>
          <w:p w14:paraId="7FE435DF"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Test for:</w:t>
            </w:r>
          </w:p>
          <w:p w14:paraId="70F3AE16"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Moisture – 45 to 55%</w:t>
            </w:r>
          </w:p>
          <w:p w14:paraId="4F6A686B"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TKN – 0.9 to 1.5%</w:t>
            </w:r>
          </w:p>
          <w:p w14:paraId="4034B666"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Total Carbon - 15 to 30%</w:t>
            </w:r>
          </w:p>
          <w:p w14:paraId="4146459D"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Carbon: Nitrogen ratio - 20 to 30:1</w:t>
            </w:r>
          </w:p>
          <w:p w14:paraId="3FE97AB7"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Extract:</w:t>
            </w:r>
          </w:p>
          <w:p w14:paraId="7B15A0C8" w14:textId="77777777" w:rsidR="00EE2996" w:rsidRDefault="00000000">
            <w:pPr>
              <w:numPr>
                <w:ilvl w:val="2"/>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pH – 6 to 7.5</w:t>
            </w:r>
          </w:p>
          <w:p w14:paraId="07C624DA" w14:textId="77777777" w:rsidR="00EE2996" w:rsidRDefault="00000000">
            <w:pPr>
              <w:numPr>
                <w:ilvl w:val="2"/>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Conductivity – 60 to 360 mS/m</w:t>
            </w:r>
          </w:p>
          <w:p w14:paraId="57806CFA" w14:textId="77777777" w:rsidR="00EE2996" w:rsidRDefault="00000000">
            <w:pPr>
              <w:numPr>
                <w:ilvl w:val="2"/>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Ammonia Nitrogen (NH</w:t>
            </w:r>
            <w:r>
              <w:rPr>
                <w:color w:val="000000"/>
                <w:vertAlign w:val="subscript"/>
              </w:rPr>
              <w:t>3</w:t>
            </w:r>
            <w:r>
              <w:rPr>
                <w:color w:val="000000"/>
              </w:rPr>
              <w:t>-N) - 15 to 30 ppm</w:t>
            </w:r>
          </w:p>
          <w:p w14:paraId="74E18BFB" w14:textId="77777777" w:rsidR="00EE2996" w:rsidRDefault="00000000">
            <w:pPr>
              <w:numPr>
                <w:ilvl w:val="2"/>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Nitrate Nitrogen (NO</w:t>
            </w:r>
            <w:r>
              <w:rPr>
                <w:color w:val="000000"/>
                <w:vertAlign w:val="subscript"/>
              </w:rPr>
              <w:t>3</w:t>
            </w:r>
            <w:r>
              <w:rPr>
                <w:color w:val="000000"/>
              </w:rPr>
              <w:t>-N) – 40 to 100 ppm</w:t>
            </w:r>
          </w:p>
          <w:p w14:paraId="0BC4223C" w14:textId="77777777" w:rsidR="00EE2996" w:rsidRDefault="00000000">
            <w:pPr>
              <w:numPr>
                <w:ilvl w:val="2"/>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Nitrate: Ammonia ratio – 3:1</w:t>
            </w:r>
          </w:p>
          <w:p w14:paraId="7E62099F"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Germination:</w:t>
            </w:r>
          </w:p>
          <w:p w14:paraId="121810F3" w14:textId="77777777" w:rsidR="00EE2996" w:rsidRDefault="00000000">
            <w:pPr>
              <w:numPr>
                <w:ilvl w:val="2"/>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Radish - 80 to 100 %</w:t>
            </w:r>
          </w:p>
          <w:p w14:paraId="404EFB3E" w14:textId="77777777" w:rsidR="00EE2996" w:rsidRDefault="00000000">
            <w:pPr>
              <w:numPr>
                <w:ilvl w:val="2"/>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Tomato - 80 to 100 %</w:t>
            </w:r>
          </w:p>
          <w:p w14:paraId="31093F82"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Pathogens:</w:t>
            </w:r>
          </w:p>
          <w:p w14:paraId="4AD62ABA" w14:textId="77777777" w:rsidR="00EE2996" w:rsidRDefault="00000000">
            <w:pPr>
              <w:numPr>
                <w:ilvl w:val="2"/>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proofErr w:type="gramStart"/>
            <w:r>
              <w:rPr>
                <w:i/>
                <w:color w:val="000000"/>
              </w:rPr>
              <w:t>E.coli</w:t>
            </w:r>
            <w:proofErr w:type="gramEnd"/>
            <w:r>
              <w:rPr>
                <w:color w:val="000000"/>
              </w:rPr>
              <w:t xml:space="preserve"> - &lt;100 MPN/g</w:t>
            </w:r>
          </w:p>
        </w:tc>
      </w:tr>
      <w:tr w:rsidR="00EE2996" w14:paraId="5A63971A"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3C247EAF"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Hazard(s)</w:t>
            </w:r>
          </w:p>
        </w:tc>
        <w:tc>
          <w:tcPr>
            <w:tcW w:w="6969" w:type="dxa"/>
            <w:tcBorders>
              <w:top w:val="single" w:sz="7" w:space="0" w:color="000000"/>
              <w:left w:val="single" w:sz="7" w:space="0" w:color="000000"/>
              <w:bottom w:val="single" w:sz="7" w:space="0" w:color="000000"/>
              <w:right w:val="single" w:sz="7" w:space="0" w:color="000000"/>
            </w:tcBorders>
          </w:tcPr>
          <w:p w14:paraId="5F1CD7D7"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Not </w:t>
            </w:r>
            <w:r>
              <w:t>mature</w:t>
            </w:r>
            <w:r>
              <w:rPr>
                <w:color w:val="000000"/>
              </w:rPr>
              <w:t xml:space="preserve"> enough for screening:</w:t>
            </w:r>
          </w:p>
          <w:p w14:paraId="70912BE5"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continue </w:t>
            </w:r>
            <w:r>
              <w:t>maturing/curing</w:t>
            </w:r>
          </w:p>
          <w:p w14:paraId="0C4DD366"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Finished product outside specified limits</w:t>
            </w:r>
          </w:p>
          <w:p w14:paraId="20B3B66A"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may dictate sale options</w:t>
            </w:r>
          </w:p>
          <w:p w14:paraId="2969C97D" w14:textId="77777777" w:rsidR="00EE2996" w:rsidRDefault="00000000">
            <w:pPr>
              <w:numPr>
                <w:ilvl w:val="1"/>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may require blending</w:t>
            </w:r>
          </w:p>
        </w:tc>
      </w:tr>
      <w:tr w:rsidR="00EE2996" w14:paraId="02DC1657"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39A8A05B"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151C89B8"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120"/>
              <w:ind w:right="57"/>
              <w:rPr>
                <w:color w:val="000000"/>
              </w:rPr>
            </w:pPr>
            <w:r>
              <w:rPr>
                <w:color w:val="000000"/>
              </w:rPr>
              <w:t>The finished product should meet all requirements for sale</w:t>
            </w:r>
          </w:p>
        </w:tc>
      </w:tr>
    </w:tbl>
    <w:p w14:paraId="5051A773"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6791C82F" w14:textId="77777777" w:rsidR="00EE2996" w:rsidRDefault="00000000">
      <w:pPr>
        <w:spacing w:after="160" w:line="259" w:lineRule="auto"/>
      </w:pPr>
      <w:r>
        <w:br w:type="page"/>
      </w:r>
    </w:p>
    <w:p w14:paraId="5EB9A903" w14:textId="77777777" w:rsidR="00EE2996" w:rsidRDefault="00000000">
      <w:pPr>
        <w:tabs>
          <w:tab w:val="left" w:pos="-14"/>
          <w:tab w:val="left" w:pos="1529"/>
          <w:tab w:val="left" w:pos="1926"/>
          <w:tab w:val="left" w:pos="2492"/>
          <w:tab w:val="left" w:pos="3059"/>
          <w:tab w:val="left" w:pos="4534"/>
          <w:tab w:val="left" w:pos="7141"/>
        </w:tabs>
        <w:ind w:left="166" w:hanging="180"/>
        <w:jc w:val="both"/>
        <w:rPr>
          <w:sz w:val="24"/>
          <w:szCs w:val="24"/>
        </w:rPr>
      </w:pPr>
      <w:r>
        <w:rPr>
          <w:b/>
          <w:sz w:val="24"/>
          <w:szCs w:val="24"/>
        </w:rPr>
        <w:lastRenderedPageBreak/>
        <w:t>INFRASTRUCTURE PARAMETERS:</w:t>
      </w:r>
    </w:p>
    <w:p w14:paraId="1395AE2F" w14:textId="77777777" w:rsidR="00EE2996" w:rsidRDefault="00EE2996">
      <w:pPr>
        <w:tabs>
          <w:tab w:val="left" w:pos="-14"/>
          <w:tab w:val="left" w:pos="1529"/>
          <w:tab w:val="left" w:pos="1926"/>
          <w:tab w:val="left" w:pos="2492"/>
          <w:tab w:val="left" w:pos="3059"/>
          <w:tab w:val="left" w:pos="4534"/>
          <w:tab w:val="left" w:pos="7141"/>
        </w:tabs>
        <w:ind w:left="166" w:right="-305" w:hanging="180"/>
        <w:jc w:val="both"/>
      </w:pPr>
    </w:p>
    <w:tbl>
      <w:tblPr>
        <w:tblStyle w:val="afa"/>
        <w:tblW w:w="8555" w:type="dxa"/>
        <w:tblInd w:w="106" w:type="dxa"/>
        <w:tblLayout w:type="fixed"/>
        <w:tblLook w:val="0000" w:firstRow="0" w:lastRow="0" w:firstColumn="0" w:lastColumn="0" w:noHBand="0" w:noVBand="0"/>
      </w:tblPr>
      <w:tblGrid>
        <w:gridCol w:w="1586"/>
        <w:gridCol w:w="6969"/>
      </w:tblGrid>
      <w:tr w:rsidR="00EE2996" w14:paraId="555DFB2F"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70480F99"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Item</w:t>
            </w:r>
          </w:p>
        </w:tc>
        <w:tc>
          <w:tcPr>
            <w:tcW w:w="6969" w:type="dxa"/>
            <w:tcBorders>
              <w:top w:val="single" w:sz="7" w:space="0" w:color="000000"/>
              <w:left w:val="single" w:sz="7" w:space="0" w:color="000000"/>
              <w:bottom w:val="single" w:sz="7" w:space="0" w:color="000000"/>
              <w:right w:val="single" w:sz="7" w:space="0" w:color="000000"/>
            </w:tcBorders>
          </w:tcPr>
          <w:p w14:paraId="178B4836"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LEACHATE COLLECTION SYSTEM</w:t>
            </w:r>
          </w:p>
        </w:tc>
      </w:tr>
      <w:tr w:rsidR="00EE2996" w14:paraId="34118C16"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117A236D"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15ADCEE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All new material is to be mixed in the mixing bunker</w:t>
            </w:r>
            <w:r>
              <w:t>,</w:t>
            </w:r>
            <w:r>
              <w:rPr>
                <w:color w:val="000000"/>
              </w:rPr>
              <w:t xml:space="preserve"> with leachate flowing </w:t>
            </w:r>
            <w:r>
              <w:t>into</w:t>
            </w:r>
            <w:r>
              <w:rPr>
                <w:color w:val="000000"/>
              </w:rPr>
              <w:t xml:space="preserve"> the leachate collection system</w:t>
            </w:r>
          </w:p>
          <w:p w14:paraId="47E790F8"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The yard is designed and shaped so any leachate in the yard is to flow directly </w:t>
            </w:r>
            <w:r>
              <w:t>into</w:t>
            </w:r>
            <w:r>
              <w:rPr>
                <w:color w:val="000000"/>
              </w:rPr>
              <w:t xml:space="preserve"> the leachate collection system. </w:t>
            </w:r>
          </w:p>
          <w:p w14:paraId="19B1492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The yard and the leachate collection area </w:t>
            </w:r>
            <w:r>
              <w:t>are</w:t>
            </w:r>
            <w:r>
              <w:rPr>
                <w:color w:val="000000"/>
              </w:rPr>
              <w:t xml:space="preserve"> </w:t>
            </w:r>
            <w:r>
              <w:t>lined</w:t>
            </w:r>
            <w:r>
              <w:rPr>
                <w:color w:val="000000"/>
              </w:rPr>
              <w:t xml:space="preserve"> with plastic to prevent </w:t>
            </w:r>
            <w:r>
              <w:t xml:space="preserve">the </w:t>
            </w:r>
            <w:r>
              <w:rPr>
                <w:color w:val="000000"/>
              </w:rPr>
              <w:t xml:space="preserve">discharge of </w:t>
            </w:r>
            <w:r>
              <w:t>contaminants</w:t>
            </w:r>
            <w:r>
              <w:rPr>
                <w:color w:val="000000"/>
              </w:rPr>
              <w:t xml:space="preserve"> to land or groundwater.</w:t>
            </w:r>
          </w:p>
          <w:p w14:paraId="414FDC1F"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All leachate and stormwater from the yard and mixing bunker will flow to the leachate collection sump and into the leachate pond. </w:t>
            </w:r>
          </w:p>
          <w:p w14:paraId="2FBC5646"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The leachate collection system is to be inspected weekly to ensure it is in working order.</w:t>
            </w:r>
          </w:p>
          <w:p w14:paraId="67467A11"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The leachate pond is to be emptied regularly </w:t>
            </w:r>
            <w:r>
              <w:t>and</w:t>
            </w:r>
            <w:r>
              <w:rPr>
                <w:color w:val="000000"/>
              </w:rPr>
              <w:t xml:space="preserve"> either applied back over the compost </w:t>
            </w:r>
            <w:r>
              <w:t>windrows or</w:t>
            </w:r>
            <w:r>
              <w:rPr>
                <w:color w:val="000000"/>
              </w:rPr>
              <w:t xml:space="preserve"> via sucker truck and irrigated to land</w:t>
            </w:r>
            <w:r>
              <w:t>, leaving a 20m buffer between any water ways.</w:t>
            </w:r>
          </w:p>
          <w:p w14:paraId="15C5D8B0"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In high rainfall events</w:t>
            </w:r>
            <w:r>
              <w:t>,</w:t>
            </w:r>
            <w:r>
              <w:rPr>
                <w:color w:val="000000"/>
              </w:rPr>
              <w:t xml:space="preserve"> the leachate collection pond is to be emptied prior to rainfall to allow capture of the first flush, if necessary</w:t>
            </w:r>
            <w:r>
              <w:t>.</w:t>
            </w:r>
            <w:r>
              <w:rPr>
                <w:color w:val="000000"/>
              </w:rPr>
              <w:t xml:space="preserve"> </w:t>
            </w:r>
            <w:r>
              <w:t>Once</w:t>
            </w:r>
            <w:r>
              <w:rPr>
                <w:color w:val="000000"/>
              </w:rPr>
              <w:t xml:space="preserve"> the first flush has been irrigated to land</w:t>
            </w:r>
            <w:r>
              <w:t>,</w:t>
            </w:r>
            <w:r>
              <w:rPr>
                <w:color w:val="000000"/>
              </w:rPr>
              <w:t xml:space="preserve"> the leachate pond may be set to bypass to </w:t>
            </w:r>
            <w:r>
              <w:t>the Clearwater</w:t>
            </w:r>
            <w:r>
              <w:rPr>
                <w:color w:val="000000"/>
              </w:rPr>
              <w:t xml:space="preserve"> diversion drain</w:t>
            </w:r>
          </w:p>
          <w:p w14:paraId="62168ABD"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Material received with </w:t>
            </w:r>
            <w:r>
              <w:t>free-flowing</w:t>
            </w:r>
            <w:r>
              <w:rPr>
                <w:color w:val="000000"/>
              </w:rPr>
              <w:t xml:space="preserve"> liquid is to be rejected</w:t>
            </w:r>
            <w:r>
              <w:t>,</w:t>
            </w:r>
            <w:r>
              <w:rPr>
                <w:color w:val="000000"/>
              </w:rPr>
              <w:t xml:space="preserve"> and a non-conformance </w:t>
            </w:r>
            <w:r>
              <w:t xml:space="preserve">is to be </w:t>
            </w:r>
            <w:r>
              <w:rPr>
                <w:color w:val="000000"/>
              </w:rPr>
              <w:t>issued to the supplier.</w:t>
            </w:r>
          </w:p>
          <w:p w14:paraId="15D5545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6 monthly samples of leachate will be collected</w:t>
            </w:r>
            <w:r>
              <w:t>,</w:t>
            </w:r>
            <w:r>
              <w:rPr>
                <w:color w:val="000000"/>
              </w:rPr>
              <w:t xml:space="preserve"> and volumes of leachate removed will be recorded</w:t>
            </w:r>
          </w:p>
        </w:tc>
      </w:tr>
      <w:tr w:rsidR="00EE2996" w14:paraId="23A40436"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2037F2D9"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Hazard(s)</w:t>
            </w:r>
          </w:p>
        </w:tc>
        <w:tc>
          <w:tcPr>
            <w:tcW w:w="6969" w:type="dxa"/>
            <w:tcBorders>
              <w:top w:val="single" w:sz="7" w:space="0" w:color="000000"/>
              <w:left w:val="single" w:sz="7" w:space="0" w:color="000000"/>
              <w:bottom w:val="single" w:sz="7" w:space="0" w:color="000000"/>
              <w:right w:val="single" w:sz="7" w:space="0" w:color="000000"/>
            </w:tcBorders>
          </w:tcPr>
          <w:p w14:paraId="1D6C33EB"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If leachate collection </w:t>
            </w:r>
            <w:r>
              <w:t>systems are</w:t>
            </w:r>
            <w:r>
              <w:rPr>
                <w:color w:val="000000"/>
              </w:rPr>
              <w:t xml:space="preserve"> not maintained and regularly inspected, there is a risk of leachate discharges to surface or </w:t>
            </w:r>
            <w:r>
              <w:t>groundwater</w:t>
            </w:r>
            <w:r>
              <w:rPr>
                <w:color w:val="000000"/>
              </w:rPr>
              <w:t>.</w:t>
            </w:r>
          </w:p>
          <w:p w14:paraId="5B1083FA"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Poor management of the leachate collection system could result in odour issues if excessive </w:t>
            </w:r>
          </w:p>
        </w:tc>
      </w:tr>
      <w:tr w:rsidR="00EE2996" w14:paraId="66990EAE"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66423ECB"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lastRenderedPageBreak/>
              <w:t>Comment(s)</w:t>
            </w:r>
          </w:p>
        </w:tc>
        <w:tc>
          <w:tcPr>
            <w:tcW w:w="6969" w:type="dxa"/>
            <w:tcBorders>
              <w:top w:val="single" w:sz="7" w:space="0" w:color="000000"/>
              <w:left w:val="single" w:sz="7" w:space="0" w:color="000000"/>
              <w:bottom w:val="single" w:sz="7" w:space="0" w:color="000000"/>
              <w:right w:val="single" w:sz="7" w:space="0" w:color="000000"/>
            </w:tcBorders>
          </w:tcPr>
          <w:p w14:paraId="166FCDE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The leachate collection pond is constructed similarly to the yard surface</w:t>
            </w:r>
            <w:r>
              <w:t>,</w:t>
            </w:r>
            <w:r>
              <w:rPr>
                <w:color w:val="000000"/>
              </w:rPr>
              <w:t xml:space="preserve"> with 50mm of compacted gravel and 50mm of compacted sand underneath a plastic liner. </w:t>
            </w:r>
          </w:p>
          <w:p w14:paraId="5A3B2727"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The leachate collection pond will provide storage for approximately </w:t>
            </w:r>
            <w:r>
              <w:t>840</w:t>
            </w:r>
            <w:r>
              <w:rPr>
                <w:color w:val="000000"/>
              </w:rPr>
              <w:t>m3</w:t>
            </w:r>
            <w:r>
              <w:t xml:space="preserve">. The </w:t>
            </w:r>
            <w:r>
              <w:rPr>
                <w:color w:val="000000"/>
              </w:rPr>
              <w:t>capacity to hold an 80mm rainfall event</w:t>
            </w:r>
            <w:r>
              <w:t xml:space="preserve"> would be 336m3.</w:t>
            </w:r>
          </w:p>
          <w:p w14:paraId="2A59F642"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Using </w:t>
            </w:r>
            <w:r>
              <w:t xml:space="preserve">the </w:t>
            </w:r>
            <w:r>
              <w:rPr>
                <w:color w:val="000000"/>
              </w:rPr>
              <w:t>first flush capture approach</w:t>
            </w:r>
            <w:r>
              <w:t>,</w:t>
            </w:r>
            <w:r>
              <w:rPr>
                <w:color w:val="000000"/>
              </w:rPr>
              <w:t xml:space="preserve"> there will be minimal risk of high concentration runoff or gross solids to land or water</w:t>
            </w:r>
            <w:r>
              <w:t>,</w:t>
            </w:r>
            <w:r>
              <w:rPr>
                <w:color w:val="000000"/>
              </w:rPr>
              <w:t xml:space="preserve"> as the initial flush of these contaminants will be captured in the leachate collection pond</w:t>
            </w:r>
            <w:r>
              <w:t>,</w:t>
            </w:r>
            <w:r>
              <w:rPr>
                <w:color w:val="000000"/>
              </w:rPr>
              <w:t xml:space="preserve"> and any additional clean rainwater can be discharged to land</w:t>
            </w:r>
          </w:p>
          <w:p w14:paraId="58491BD0"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Once the system is in the diversion configuration, any further runoff during the high rainfall event will likely be highly diluted from the high rainfall.</w:t>
            </w:r>
          </w:p>
          <w:p w14:paraId="07BCF29A"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Along the clean water diversion drainage system, native plants and other </w:t>
            </w:r>
            <w:r>
              <w:t>vegetation</w:t>
            </w:r>
            <w:r>
              <w:rPr>
                <w:color w:val="000000"/>
              </w:rPr>
              <w:t xml:space="preserve"> will be planted along 110m of the drain to further filter out any gross solids or contaminants. Native plants will consist of flaxes, rushes and sedges to act as an artificial wetland.</w:t>
            </w:r>
          </w:p>
          <w:p w14:paraId="76B3B0F8"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With this being a new process</w:t>
            </w:r>
            <w:r>
              <w:t>,</w:t>
            </w:r>
            <w:r>
              <w:rPr>
                <w:color w:val="000000"/>
              </w:rPr>
              <w:t xml:space="preserve"> there is potential to install windrow covers in high rainfall events to prevent leaching. This will be reviewed when the management plan is </w:t>
            </w:r>
            <w:proofErr w:type="gramStart"/>
            <w:r>
              <w:rPr>
                <w:color w:val="000000"/>
              </w:rPr>
              <w:t>reviewed</w:t>
            </w:r>
            <w:proofErr w:type="gramEnd"/>
            <w:r>
              <w:rPr>
                <w:color w:val="000000"/>
              </w:rPr>
              <w:t xml:space="preserve"> and a decision will be made if this </w:t>
            </w:r>
            <w:r>
              <w:t>becomes</w:t>
            </w:r>
            <w:r>
              <w:rPr>
                <w:color w:val="000000"/>
              </w:rPr>
              <w:t xml:space="preserve"> a requirement of the operation.</w:t>
            </w:r>
          </w:p>
        </w:tc>
      </w:tr>
    </w:tbl>
    <w:p w14:paraId="18D51B54"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4286317E"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31258FA8" w14:textId="77777777" w:rsidR="00EE2996" w:rsidRDefault="00000000">
      <w:r>
        <w:br w:type="page"/>
      </w:r>
    </w:p>
    <w:tbl>
      <w:tblPr>
        <w:tblStyle w:val="afb"/>
        <w:tblW w:w="8555" w:type="dxa"/>
        <w:tblInd w:w="106" w:type="dxa"/>
        <w:tblLayout w:type="fixed"/>
        <w:tblLook w:val="0000" w:firstRow="0" w:lastRow="0" w:firstColumn="0" w:lastColumn="0" w:noHBand="0" w:noVBand="0"/>
      </w:tblPr>
      <w:tblGrid>
        <w:gridCol w:w="1586"/>
        <w:gridCol w:w="6969"/>
      </w:tblGrid>
      <w:tr w:rsidR="00EE2996" w14:paraId="4A1001BA"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0904F48E"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lastRenderedPageBreak/>
              <w:t>Item</w:t>
            </w:r>
          </w:p>
        </w:tc>
        <w:tc>
          <w:tcPr>
            <w:tcW w:w="6969" w:type="dxa"/>
            <w:tcBorders>
              <w:top w:val="single" w:sz="7" w:space="0" w:color="000000"/>
              <w:left w:val="single" w:sz="7" w:space="0" w:color="000000"/>
              <w:bottom w:val="single" w:sz="7" w:space="0" w:color="000000"/>
              <w:right w:val="single" w:sz="7" w:space="0" w:color="000000"/>
            </w:tcBorders>
          </w:tcPr>
          <w:p w14:paraId="1E269ADE"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YARD SURFACE</w:t>
            </w:r>
          </w:p>
        </w:tc>
      </w:tr>
      <w:tr w:rsidR="00EE2996" w14:paraId="1D500EA1"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631F168F"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3AB14B8F" w14:textId="77777777" w:rsidR="00EE2996" w:rsidRDefault="00000000">
            <w:pPr>
              <w:numPr>
                <w:ilvl w:val="0"/>
                <w:numId w:val="2"/>
              </w:numPr>
              <w:pBdr>
                <w:top w:val="nil"/>
                <w:left w:val="nil"/>
                <w:bottom w:val="nil"/>
                <w:right w:val="nil"/>
                <w:between w:val="nil"/>
              </w:pBdr>
              <w:tabs>
                <w:tab w:val="left" w:pos="284"/>
              </w:tabs>
              <w:spacing w:after="0"/>
            </w:pPr>
            <w:r>
              <w:rPr>
                <w:color w:val="000000"/>
              </w:rPr>
              <w:t xml:space="preserve">The yard surface is approximately 4,200m2. </w:t>
            </w:r>
          </w:p>
          <w:p w14:paraId="3EAC7E19" w14:textId="77777777" w:rsidR="00EE2996" w:rsidRDefault="00000000">
            <w:pPr>
              <w:numPr>
                <w:ilvl w:val="0"/>
                <w:numId w:val="2"/>
              </w:numPr>
              <w:pBdr>
                <w:top w:val="nil"/>
                <w:left w:val="nil"/>
                <w:bottom w:val="nil"/>
                <w:right w:val="nil"/>
                <w:between w:val="nil"/>
              </w:pBdr>
              <w:tabs>
                <w:tab w:val="left" w:pos="284"/>
              </w:tabs>
              <w:spacing w:after="0"/>
            </w:pPr>
            <w:r>
              <w:rPr>
                <w:color w:val="000000"/>
              </w:rPr>
              <w:t xml:space="preserve">The yard was constructed by digging 250mm out of the paddock and building the base of the yard with 250mm of 40mm screened compacted gravel with 50mm of sand on top. It </w:t>
            </w:r>
            <w:r>
              <w:t>is</w:t>
            </w:r>
            <w:r>
              <w:rPr>
                <w:color w:val="000000"/>
              </w:rPr>
              <w:t xml:space="preserve"> sloped to allow flow into the </w:t>
            </w:r>
            <w:proofErr w:type="spellStart"/>
            <w:r>
              <w:rPr>
                <w:color w:val="000000"/>
              </w:rPr>
              <w:t>leahcate</w:t>
            </w:r>
            <w:proofErr w:type="spellEnd"/>
            <w:r>
              <w:rPr>
                <w:color w:val="000000"/>
              </w:rPr>
              <w:t xml:space="preserve"> </w:t>
            </w:r>
            <w:r>
              <w:t>collection sump.</w:t>
            </w:r>
          </w:p>
          <w:p w14:paraId="7A6E540E" w14:textId="77777777" w:rsidR="00EE2996" w:rsidRDefault="00000000">
            <w:pPr>
              <w:numPr>
                <w:ilvl w:val="0"/>
                <w:numId w:val="2"/>
              </w:numPr>
              <w:pBdr>
                <w:top w:val="nil"/>
                <w:left w:val="nil"/>
                <w:bottom w:val="nil"/>
                <w:right w:val="nil"/>
                <w:between w:val="nil"/>
              </w:pBdr>
              <w:tabs>
                <w:tab w:val="left" w:pos="284"/>
              </w:tabs>
              <w:spacing w:after="0"/>
            </w:pPr>
            <w:r>
              <w:rPr>
                <w:color w:val="000000"/>
              </w:rPr>
              <w:t xml:space="preserve">A 30mu liner was then placed over the entire yard to prevent any leachate </w:t>
            </w:r>
            <w:r>
              <w:t xml:space="preserve">from </w:t>
            </w:r>
            <w:r>
              <w:rPr>
                <w:color w:val="000000"/>
              </w:rPr>
              <w:t xml:space="preserve">entering </w:t>
            </w:r>
            <w:r>
              <w:t xml:space="preserve">the </w:t>
            </w:r>
            <w:r>
              <w:rPr>
                <w:color w:val="000000"/>
              </w:rPr>
              <w:t xml:space="preserve">groundwater. </w:t>
            </w:r>
          </w:p>
          <w:p w14:paraId="759B8828" w14:textId="77777777" w:rsidR="00EE2996" w:rsidRDefault="00000000">
            <w:pPr>
              <w:numPr>
                <w:ilvl w:val="0"/>
                <w:numId w:val="2"/>
              </w:numPr>
              <w:pBdr>
                <w:top w:val="nil"/>
                <w:left w:val="nil"/>
                <w:bottom w:val="nil"/>
                <w:right w:val="nil"/>
                <w:between w:val="nil"/>
              </w:pBdr>
              <w:tabs>
                <w:tab w:val="left" w:pos="284"/>
              </w:tabs>
              <w:spacing w:after="0"/>
            </w:pPr>
            <w:r>
              <w:rPr>
                <w:color w:val="000000"/>
              </w:rPr>
              <w:t xml:space="preserve">On top of the plastic liner, a further 50 mm of sand was placed, with a final 100mm of 40mm screened and compacted gravel placed on top.  </w:t>
            </w:r>
          </w:p>
          <w:p w14:paraId="6AC35619" w14:textId="77777777" w:rsidR="00EE2996" w:rsidRDefault="00000000">
            <w:pPr>
              <w:numPr>
                <w:ilvl w:val="0"/>
                <w:numId w:val="2"/>
              </w:numPr>
              <w:pBdr>
                <w:top w:val="nil"/>
                <w:left w:val="nil"/>
                <w:bottom w:val="nil"/>
                <w:right w:val="nil"/>
                <w:between w:val="nil"/>
              </w:pBdr>
              <w:tabs>
                <w:tab w:val="left" w:pos="284"/>
              </w:tabs>
              <w:spacing w:after="0"/>
            </w:pPr>
            <w:r>
              <w:rPr>
                <w:color w:val="000000"/>
              </w:rPr>
              <w:t>Surrounding the yard will be a 1</w:t>
            </w:r>
            <w:r>
              <w:t>.5m</w:t>
            </w:r>
            <w:r>
              <w:rPr>
                <w:color w:val="000000"/>
              </w:rPr>
              <w:t xml:space="preserve"> high bund around the compost yard that will be planted up in native plants, trees and other vegetation to provide screening for dust and odour.</w:t>
            </w:r>
          </w:p>
          <w:p w14:paraId="62CAE8C1" w14:textId="77777777" w:rsidR="00EE2996" w:rsidRDefault="00000000">
            <w:pPr>
              <w:numPr>
                <w:ilvl w:val="0"/>
                <w:numId w:val="2"/>
              </w:numPr>
              <w:pBdr>
                <w:top w:val="nil"/>
                <w:left w:val="nil"/>
                <w:bottom w:val="nil"/>
                <w:right w:val="nil"/>
                <w:between w:val="nil"/>
              </w:pBdr>
              <w:tabs>
                <w:tab w:val="left" w:pos="284"/>
              </w:tabs>
            </w:pPr>
            <w:r>
              <w:rPr>
                <w:color w:val="000000"/>
              </w:rPr>
              <w:t xml:space="preserve">The yard surface will be maintained regularly and will have a </w:t>
            </w:r>
            <w:r>
              <w:t>5-yearly</w:t>
            </w:r>
            <w:r>
              <w:rPr>
                <w:color w:val="000000"/>
              </w:rPr>
              <w:t xml:space="preserve"> overhaul</w:t>
            </w:r>
          </w:p>
        </w:tc>
      </w:tr>
      <w:tr w:rsidR="00EE2996" w14:paraId="016EF332"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234DFA27"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Hazard(s)</w:t>
            </w:r>
          </w:p>
        </w:tc>
        <w:tc>
          <w:tcPr>
            <w:tcW w:w="6969" w:type="dxa"/>
            <w:tcBorders>
              <w:top w:val="single" w:sz="7" w:space="0" w:color="000000"/>
              <w:left w:val="single" w:sz="7" w:space="0" w:color="000000"/>
              <w:bottom w:val="single" w:sz="7" w:space="0" w:color="000000"/>
              <w:right w:val="single" w:sz="7" w:space="0" w:color="000000"/>
            </w:tcBorders>
          </w:tcPr>
          <w:p w14:paraId="01825E79"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120"/>
              <w:ind w:right="57"/>
              <w:rPr>
                <w:color w:val="000000"/>
              </w:rPr>
            </w:pPr>
            <w:r>
              <w:rPr>
                <w:color w:val="000000"/>
              </w:rPr>
              <w:t xml:space="preserve">Discharge to Land or water if the yard surface is not </w:t>
            </w:r>
            <w:r>
              <w:t>well-maintained</w:t>
            </w:r>
          </w:p>
        </w:tc>
      </w:tr>
      <w:tr w:rsidR="00EE2996" w14:paraId="19328B9D"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1874713A"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4628758D"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120"/>
              <w:ind w:right="57"/>
              <w:rPr>
                <w:color w:val="000000"/>
              </w:rPr>
            </w:pPr>
            <w:r>
              <w:rPr>
                <w:color w:val="000000"/>
              </w:rPr>
              <w:t>Correct maintenance of the compost yard will ensure leachate and runoff flows to the collection system and pond</w:t>
            </w:r>
            <w:r>
              <w:t>,</w:t>
            </w:r>
            <w:r>
              <w:rPr>
                <w:color w:val="000000"/>
              </w:rPr>
              <w:t xml:space="preserve"> and will prevent ponding</w:t>
            </w:r>
          </w:p>
        </w:tc>
      </w:tr>
    </w:tbl>
    <w:p w14:paraId="4322B8B0" w14:textId="77777777" w:rsidR="00EE2996" w:rsidRDefault="00EE2996">
      <w:pPr>
        <w:tabs>
          <w:tab w:val="left" w:pos="-14"/>
          <w:tab w:val="left" w:pos="432"/>
          <w:tab w:val="left" w:pos="1926"/>
          <w:tab w:val="left" w:pos="2492"/>
          <w:tab w:val="left" w:pos="3059"/>
          <w:tab w:val="left" w:pos="4534"/>
          <w:tab w:val="left" w:pos="7141"/>
        </w:tabs>
        <w:ind w:left="166" w:right="-305" w:hanging="180"/>
        <w:jc w:val="both"/>
      </w:pPr>
    </w:p>
    <w:p w14:paraId="261409B0" w14:textId="77777777" w:rsidR="00EE2996" w:rsidRDefault="00000000">
      <w:pPr>
        <w:spacing w:after="160" w:line="259" w:lineRule="auto"/>
      </w:pPr>
      <w:r>
        <w:br w:type="page"/>
      </w:r>
    </w:p>
    <w:tbl>
      <w:tblPr>
        <w:tblStyle w:val="afc"/>
        <w:tblW w:w="8555" w:type="dxa"/>
        <w:tblInd w:w="106" w:type="dxa"/>
        <w:tblLayout w:type="fixed"/>
        <w:tblLook w:val="0000" w:firstRow="0" w:lastRow="0" w:firstColumn="0" w:lastColumn="0" w:noHBand="0" w:noVBand="0"/>
      </w:tblPr>
      <w:tblGrid>
        <w:gridCol w:w="1586"/>
        <w:gridCol w:w="6969"/>
      </w:tblGrid>
      <w:tr w:rsidR="00EE2996" w14:paraId="59483696"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69C45EEE"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lastRenderedPageBreak/>
              <w:t>Item</w:t>
            </w:r>
          </w:p>
        </w:tc>
        <w:tc>
          <w:tcPr>
            <w:tcW w:w="6969" w:type="dxa"/>
            <w:tcBorders>
              <w:top w:val="single" w:sz="7" w:space="0" w:color="000000"/>
              <w:left w:val="single" w:sz="7" w:space="0" w:color="000000"/>
              <w:bottom w:val="single" w:sz="7" w:space="0" w:color="000000"/>
              <w:right w:val="single" w:sz="7" w:space="0" w:color="000000"/>
            </w:tcBorders>
          </w:tcPr>
          <w:p w14:paraId="2D7AC0EE"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rPr>
                <w:b/>
              </w:rPr>
            </w:pPr>
            <w:r>
              <w:rPr>
                <w:b/>
              </w:rPr>
              <w:t>IRRIGATION</w:t>
            </w:r>
          </w:p>
        </w:tc>
      </w:tr>
      <w:tr w:rsidR="00EE2996" w14:paraId="50893DFF"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42630750"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Standard</w:t>
            </w:r>
          </w:p>
        </w:tc>
        <w:tc>
          <w:tcPr>
            <w:tcW w:w="6969" w:type="dxa"/>
            <w:tcBorders>
              <w:top w:val="single" w:sz="7" w:space="0" w:color="000000"/>
              <w:left w:val="single" w:sz="7" w:space="0" w:color="000000"/>
              <w:bottom w:val="single" w:sz="7" w:space="0" w:color="000000"/>
              <w:right w:val="single" w:sz="7" w:space="0" w:color="000000"/>
            </w:tcBorders>
          </w:tcPr>
          <w:p w14:paraId="6C1C5456" w14:textId="77777777" w:rsidR="00EE2996" w:rsidRDefault="00000000">
            <w:pPr>
              <w:numPr>
                <w:ilvl w:val="0"/>
                <w:numId w:val="2"/>
              </w:numPr>
              <w:pBdr>
                <w:top w:val="nil"/>
                <w:left w:val="nil"/>
                <w:bottom w:val="nil"/>
                <w:right w:val="nil"/>
                <w:between w:val="nil"/>
              </w:pBdr>
              <w:tabs>
                <w:tab w:val="left" w:pos="284"/>
              </w:tabs>
              <w:spacing w:after="0"/>
            </w:pPr>
            <w:r>
              <w:t>Establish the area to irrigate from the Farm Management App.</w:t>
            </w:r>
          </w:p>
          <w:p w14:paraId="15DC6400" w14:textId="77777777" w:rsidR="00EE2996" w:rsidRDefault="00000000">
            <w:pPr>
              <w:numPr>
                <w:ilvl w:val="0"/>
                <w:numId w:val="2"/>
              </w:numPr>
              <w:pBdr>
                <w:top w:val="nil"/>
                <w:left w:val="nil"/>
                <w:bottom w:val="nil"/>
                <w:right w:val="nil"/>
                <w:between w:val="nil"/>
              </w:pBdr>
              <w:tabs>
                <w:tab w:val="left" w:pos="284"/>
              </w:tabs>
              <w:spacing w:after="0"/>
            </w:pPr>
            <w:r>
              <w:rPr>
                <w:color w:val="000000"/>
              </w:rPr>
              <w:t>Irrigation volume and location are to be recorded for each irrigation event (i.e. what paddock)</w:t>
            </w:r>
          </w:p>
          <w:p w14:paraId="42F5181C" w14:textId="77777777" w:rsidR="00EE2996" w:rsidRDefault="00000000">
            <w:pPr>
              <w:numPr>
                <w:ilvl w:val="0"/>
                <w:numId w:val="2"/>
              </w:numPr>
              <w:pBdr>
                <w:top w:val="nil"/>
                <w:left w:val="nil"/>
                <w:bottom w:val="nil"/>
                <w:right w:val="nil"/>
                <w:between w:val="nil"/>
              </w:pBdr>
              <w:tabs>
                <w:tab w:val="left" w:pos="284"/>
              </w:tabs>
              <w:spacing w:after="0"/>
            </w:pPr>
            <w:r>
              <w:rPr>
                <w:color w:val="000000"/>
              </w:rPr>
              <w:t xml:space="preserve">Wind direction is to be checked prior to </w:t>
            </w:r>
            <w:r>
              <w:t xml:space="preserve">the </w:t>
            </w:r>
            <w:r>
              <w:rPr>
                <w:color w:val="000000"/>
              </w:rPr>
              <w:t>irrigation event to prevent spray drift and risk of odour impacts on neighbours</w:t>
            </w:r>
            <w:r>
              <w:t>,</w:t>
            </w:r>
            <w:r>
              <w:rPr>
                <w:color w:val="000000"/>
              </w:rPr>
              <w:t xml:space="preserve"> and no discharges are to be made if </w:t>
            </w:r>
            <w:r>
              <w:t xml:space="preserve">the </w:t>
            </w:r>
            <w:r>
              <w:rPr>
                <w:color w:val="000000"/>
              </w:rPr>
              <w:t>wind is blowing in the direction of neighbours</w:t>
            </w:r>
          </w:p>
          <w:p w14:paraId="4FAAC848" w14:textId="77777777" w:rsidR="00EE2996" w:rsidRDefault="00000000">
            <w:pPr>
              <w:numPr>
                <w:ilvl w:val="0"/>
                <w:numId w:val="2"/>
              </w:numPr>
              <w:pBdr>
                <w:top w:val="nil"/>
                <w:left w:val="nil"/>
                <w:bottom w:val="nil"/>
                <w:right w:val="nil"/>
                <w:between w:val="nil"/>
              </w:pBdr>
              <w:tabs>
                <w:tab w:val="left" w:pos="284"/>
              </w:tabs>
              <w:spacing w:after="0"/>
            </w:pPr>
            <w:r>
              <w:rPr>
                <w:color w:val="000000"/>
              </w:rPr>
              <w:t>The application rate shall not exceed 20mm in depth</w:t>
            </w:r>
          </w:p>
          <w:p w14:paraId="65D25163" w14:textId="77777777" w:rsidR="00EE2996" w:rsidRDefault="00000000">
            <w:pPr>
              <w:numPr>
                <w:ilvl w:val="0"/>
                <w:numId w:val="2"/>
              </w:numPr>
              <w:pBdr>
                <w:top w:val="nil"/>
                <w:left w:val="nil"/>
                <w:bottom w:val="nil"/>
                <w:right w:val="nil"/>
                <w:between w:val="nil"/>
              </w:pBdr>
              <w:tabs>
                <w:tab w:val="left" w:pos="284"/>
              </w:tabs>
            </w:pPr>
            <w:r>
              <w:rPr>
                <w:color w:val="000000"/>
              </w:rPr>
              <w:t>Irrigation will not result in surface ponding or drainage to surface water bodies</w:t>
            </w:r>
          </w:p>
        </w:tc>
      </w:tr>
      <w:tr w:rsidR="00EE2996" w14:paraId="22348574"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3C1C4338" w14:textId="77777777" w:rsidR="00EE2996" w:rsidRDefault="00EE2996">
            <w:pPr>
              <w:tabs>
                <w:tab w:val="left" w:pos="-194"/>
                <w:tab w:val="left" w:pos="1349"/>
                <w:tab w:val="left" w:pos="1746"/>
                <w:tab w:val="left" w:pos="2312"/>
                <w:tab w:val="left" w:pos="2879"/>
                <w:tab w:val="left" w:pos="4354"/>
                <w:tab w:val="left" w:pos="6961"/>
              </w:tabs>
              <w:spacing w:before="120" w:after="120"/>
              <w:ind w:left="237" w:right="57" w:hanging="180"/>
              <w:jc w:val="center"/>
            </w:pPr>
          </w:p>
        </w:tc>
        <w:tc>
          <w:tcPr>
            <w:tcW w:w="6969" w:type="dxa"/>
            <w:tcBorders>
              <w:top w:val="single" w:sz="7" w:space="0" w:color="000000"/>
              <w:left w:val="single" w:sz="7" w:space="0" w:color="000000"/>
              <w:bottom w:val="single" w:sz="7" w:space="0" w:color="000000"/>
              <w:right w:val="single" w:sz="7" w:space="0" w:color="000000"/>
            </w:tcBorders>
          </w:tcPr>
          <w:p w14:paraId="234B7E2F" w14:textId="77777777" w:rsidR="00EE2996" w:rsidRDefault="00000000">
            <w:pPr>
              <w:tabs>
                <w:tab w:val="left" w:pos="-194"/>
                <w:tab w:val="left" w:pos="1349"/>
                <w:tab w:val="left" w:pos="1746"/>
                <w:tab w:val="left" w:pos="2312"/>
                <w:tab w:val="left" w:pos="2879"/>
                <w:tab w:val="left" w:pos="4354"/>
                <w:tab w:val="left" w:pos="6961"/>
              </w:tabs>
              <w:spacing w:before="120" w:after="120"/>
              <w:ind w:right="57"/>
            </w:pPr>
            <w:r>
              <w:rPr>
                <w:noProof/>
              </w:rPr>
              <w:drawing>
                <wp:inline distT="0" distB="0" distL="0" distR="0" wp14:anchorId="0910FB27" wp14:editId="6B7FB16D">
                  <wp:extent cx="4272915" cy="3202305"/>
                  <wp:effectExtent l="0" t="0" r="0" b="0"/>
                  <wp:docPr id="1628807538" name="image4.png" descr="Numedic Travelling Irrigator | NZ Farm Source"/>
                  <wp:cNvGraphicFramePr/>
                  <a:graphic xmlns:a="http://schemas.openxmlformats.org/drawingml/2006/main">
                    <a:graphicData uri="http://schemas.openxmlformats.org/drawingml/2006/picture">
                      <pic:pic xmlns:pic="http://schemas.openxmlformats.org/drawingml/2006/picture">
                        <pic:nvPicPr>
                          <pic:cNvPr id="0" name="image4.png" descr="Numedic Travelling Irrigator | NZ Farm Source"/>
                          <pic:cNvPicPr preferRelativeResize="0"/>
                        </pic:nvPicPr>
                        <pic:blipFill>
                          <a:blip r:embed="rId13"/>
                          <a:srcRect/>
                          <a:stretch>
                            <a:fillRect/>
                          </a:stretch>
                        </pic:blipFill>
                        <pic:spPr>
                          <a:xfrm>
                            <a:off x="0" y="0"/>
                            <a:ext cx="4272915" cy="3202305"/>
                          </a:xfrm>
                          <a:prstGeom prst="rect">
                            <a:avLst/>
                          </a:prstGeom>
                          <a:ln/>
                        </pic:spPr>
                      </pic:pic>
                    </a:graphicData>
                  </a:graphic>
                </wp:inline>
              </w:drawing>
            </w:r>
          </w:p>
        </w:tc>
      </w:tr>
      <w:tr w:rsidR="00EE2996" w14:paraId="2CE08BDF"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53F06557"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Hazard(s)</w:t>
            </w:r>
          </w:p>
        </w:tc>
        <w:tc>
          <w:tcPr>
            <w:tcW w:w="6969" w:type="dxa"/>
            <w:tcBorders>
              <w:top w:val="single" w:sz="7" w:space="0" w:color="000000"/>
              <w:left w:val="single" w:sz="7" w:space="0" w:color="000000"/>
              <w:bottom w:val="single" w:sz="7" w:space="0" w:color="000000"/>
              <w:right w:val="single" w:sz="7" w:space="0" w:color="000000"/>
            </w:tcBorders>
          </w:tcPr>
          <w:p w14:paraId="486CAF45"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Spray drift from </w:t>
            </w:r>
            <w:r>
              <w:t>irrigation</w:t>
            </w:r>
          </w:p>
          <w:p w14:paraId="0C8CBCCA"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 xml:space="preserve">Odour discharges if irrigation is conducted when </w:t>
            </w:r>
            <w:r>
              <w:t xml:space="preserve">the </w:t>
            </w:r>
            <w:r>
              <w:rPr>
                <w:color w:val="000000"/>
              </w:rPr>
              <w:t>wind is blowing directly to a nearby house.</w:t>
            </w:r>
          </w:p>
          <w:p w14:paraId="0E33593E"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0"/>
              <w:ind w:right="57"/>
              <w:rPr>
                <w:color w:val="000000"/>
              </w:rPr>
            </w:pPr>
            <w:r>
              <w:rPr>
                <w:color w:val="000000"/>
              </w:rPr>
              <w:t>Ponding and surface drainage to local waterways could impact freshwater ecosystems.</w:t>
            </w:r>
          </w:p>
          <w:p w14:paraId="62F35A6A"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Nitrogen loadings from the leachate collection system </w:t>
            </w:r>
            <w:r>
              <w:t>are</w:t>
            </w:r>
            <w:r>
              <w:rPr>
                <w:color w:val="000000"/>
              </w:rPr>
              <w:t xml:space="preserve"> expected to be relatively low</w:t>
            </w:r>
            <w:r>
              <w:t>; however</w:t>
            </w:r>
            <w:r>
              <w:rPr>
                <w:color w:val="000000"/>
              </w:rPr>
              <w:t>, incorrect management of discharge events could result in exceedances of maximum nitrogen application rates (200kgN/Ha/yr)</w:t>
            </w:r>
          </w:p>
        </w:tc>
      </w:tr>
      <w:tr w:rsidR="00EE2996" w14:paraId="131FABBF" w14:textId="77777777">
        <w:trPr>
          <w:cantSplit/>
        </w:trPr>
        <w:tc>
          <w:tcPr>
            <w:tcW w:w="1586" w:type="dxa"/>
            <w:tcBorders>
              <w:top w:val="single" w:sz="7" w:space="0" w:color="000000"/>
              <w:left w:val="single" w:sz="7" w:space="0" w:color="000000"/>
              <w:bottom w:val="single" w:sz="7" w:space="0" w:color="000000"/>
              <w:right w:val="single" w:sz="7" w:space="0" w:color="000000"/>
            </w:tcBorders>
          </w:tcPr>
          <w:p w14:paraId="3D62AB0D" w14:textId="77777777" w:rsidR="00EE2996" w:rsidRDefault="00000000">
            <w:pPr>
              <w:tabs>
                <w:tab w:val="left" w:pos="-194"/>
                <w:tab w:val="left" w:pos="1349"/>
                <w:tab w:val="left" w:pos="1746"/>
                <w:tab w:val="left" w:pos="2312"/>
                <w:tab w:val="left" w:pos="2879"/>
                <w:tab w:val="left" w:pos="4354"/>
                <w:tab w:val="left" w:pos="6961"/>
              </w:tabs>
              <w:spacing w:before="120" w:after="120"/>
              <w:ind w:left="237" w:right="57" w:hanging="180"/>
              <w:jc w:val="center"/>
            </w:pPr>
            <w:r>
              <w:t>Comment(s)</w:t>
            </w:r>
          </w:p>
        </w:tc>
        <w:tc>
          <w:tcPr>
            <w:tcW w:w="6969" w:type="dxa"/>
            <w:tcBorders>
              <w:top w:val="single" w:sz="7" w:space="0" w:color="000000"/>
              <w:left w:val="single" w:sz="7" w:space="0" w:color="000000"/>
              <w:bottom w:val="single" w:sz="7" w:space="0" w:color="000000"/>
              <w:right w:val="single" w:sz="7" w:space="0" w:color="000000"/>
            </w:tcBorders>
          </w:tcPr>
          <w:p w14:paraId="0D48DEAD"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before="120" w:after="0"/>
              <w:ind w:right="57"/>
              <w:rPr>
                <w:color w:val="000000"/>
              </w:rPr>
            </w:pPr>
            <w:r>
              <w:rPr>
                <w:color w:val="000000"/>
              </w:rPr>
              <w:t xml:space="preserve">Capturing leachate and runoff from the compost yard and discharging it in a controlled manner via </w:t>
            </w:r>
            <w:r>
              <w:t xml:space="preserve">a </w:t>
            </w:r>
            <w:r>
              <w:rPr>
                <w:color w:val="000000"/>
              </w:rPr>
              <w:t xml:space="preserve">travelling irrigator is an effective way to capture </w:t>
            </w:r>
            <w:r>
              <w:t>and utilise</w:t>
            </w:r>
            <w:r>
              <w:rPr>
                <w:color w:val="000000"/>
              </w:rPr>
              <w:t xml:space="preserve"> nutrients for plant growth</w:t>
            </w:r>
          </w:p>
          <w:p w14:paraId="3F935B3B" w14:textId="77777777" w:rsidR="00EE2996" w:rsidRDefault="00000000">
            <w:pPr>
              <w:numPr>
                <w:ilvl w:val="0"/>
                <w:numId w:val="1"/>
              </w:numPr>
              <w:pBdr>
                <w:top w:val="nil"/>
                <w:left w:val="nil"/>
                <w:bottom w:val="nil"/>
                <w:right w:val="nil"/>
                <w:between w:val="nil"/>
              </w:pBdr>
              <w:tabs>
                <w:tab w:val="left" w:pos="284"/>
                <w:tab w:val="left" w:pos="-194"/>
                <w:tab w:val="left" w:pos="1349"/>
                <w:tab w:val="left" w:pos="1746"/>
                <w:tab w:val="left" w:pos="2312"/>
                <w:tab w:val="left" w:pos="2879"/>
                <w:tab w:val="left" w:pos="4354"/>
                <w:tab w:val="left" w:pos="6961"/>
              </w:tabs>
              <w:spacing w:after="120"/>
              <w:ind w:right="57"/>
              <w:rPr>
                <w:color w:val="000000"/>
              </w:rPr>
            </w:pPr>
            <w:r>
              <w:rPr>
                <w:color w:val="000000"/>
              </w:rPr>
              <w:t xml:space="preserve">With the high level of rainfall on the </w:t>
            </w:r>
            <w:r>
              <w:t>coast</w:t>
            </w:r>
            <w:r>
              <w:rPr>
                <w:color w:val="000000"/>
              </w:rPr>
              <w:t>, it is expected that the leachate will be relatively low in nutrient concentration</w:t>
            </w:r>
          </w:p>
        </w:tc>
      </w:tr>
    </w:tbl>
    <w:p w14:paraId="410C7289" w14:textId="77777777" w:rsidR="00EE2996" w:rsidRDefault="00EE2996"/>
    <w:sectPr w:rsidR="00EE2996">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61675" w14:textId="77777777" w:rsidR="00F13E87" w:rsidRDefault="00F13E87">
      <w:pPr>
        <w:spacing w:after="0" w:line="240" w:lineRule="auto"/>
      </w:pPr>
      <w:r>
        <w:separator/>
      </w:r>
    </w:p>
  </w:endnote>
  <w:endnote w:type="continuationSeparator" w:id="0">
    <w:p w14:paraId="3A2BEB29" w14:textId="77777777" w:rsidR="00F13E87" w:rsidRDefault="00F13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5BABFB2-323F-4285-B400-3CCCB174D87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F4BB93FE-44BC-4562-B743-7553CDEED6F1}"/>
    <w:embedItalic r:id="rId3" w:fontKey="{3C940F4D-C6CF-41CB-8B9C-BD9A5B517C2D}"/>
  </w:font>
  <w:font w:name="Calibri Light">
    <w:panose1 w:val="020F0302020204030204"/>
    <w:charset w:val="00"/>
    <w:family w:val="swiss"/>
    <w:pitch w:val="variable"/>
    <w:sig w:usb0="E4002EFF" w:usb1="C200247B" w:usb2="00000009" w:usb3="00000000" w:csb0="000001FF" w:csb1="00000000"/>
    <w:embedRegular r:id="rId4" w:fontKey="{21AEBC2E-833A-4D3E-BCC5-DF9388B0DAAF}"/>
  </w:font>
  <w:font w:name="Calibri">
    <w:panose1 w:val="020F0502020204030204"/>
    <w:charset w:val="00"/>
    <w:family w:val="swiss"/>
    <w:pitch w:val="variable"/>
    <w:sig w:usb0="E4002EFF" w:usb1="C200247B" w:usb2="00000009" w:usb3="00000000" w:csb0="000001FF" w:csb1="00000000"/>
    <w:embedRegular r:id="rId5" w:fontKey="{400EC254-7110-4780-8178-EC7271B873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998E" w14:textId="77777777" w:rsidR="00EE2996"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E22CA">
      <w:rPr>
        <w:noProof/>
        <w:color w:val="000000"/>
      </w:rPr>
      <w:t>1</w:t>
    </w:r>
    <w:r>
      <w:rPr>
        <w:color w:val="000000"/>
      </w:rPr>
      <w:fldChar w:fldCharType="end"/>
    </w:r>
  </w:p>
  <w:p w14:paraId="1241B6A7" w14:textId="77777777" w:rsidR="00EE2996" w:rsidRDefault="00EE299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0248" w14:textId="77777777" w:rsidR="00F13E87" w:rsidRDefault="00F13E87">
      <w:pPr>
        <w:spacing w:after="0" w:line="240" w:lineRule="auto"/>
      </w:pPr>
      <w:r>
        <w:separator/>
      </w:r>
    </w:p>
  </w:footnote>
  <w:footnote w:type="continuationSeparator" w:id="0">
    <w:p w14:paraId="5435BDD7" w14:textId="77777777" w:rsidR="00F13E87" w:rsidRDefault="00F13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A2D3E"/>
    <w:multiLevelType w:val="multilevel"/>
    <w:tmpl w:val="A5568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D7C0530"/>
    <w:multiLevelType w:val="multilevel"/>
    <w:tmpl w:val="4C1E89E2"/>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pStyle w:val="Bullets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0534966">
    <w:abstractNumId w:val="1"/>
  </w:num>
  <w:num w:numId="2" w16cid:durableId="25278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996"/>
    <w:rsid w:val="001E1963"/>
    <w:rsid w:val="005E22CA"/>
    <w:rsid w:val="00892F8C"/>
    <w:rsid w:val="00EE2996"/>
    <w:rsid w:val="00F13E8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9ECB"/>
  <w15:docId w15:val="{77054A70-777D-4D7A-8951-9250E663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styleId="ListParagraph">
    <w:name w:val="List Paragraph"/>
    <w:basedOn w:val="Normal"/>
    <w:uiPriority w:val="34"/>
    <w:qFormat/>
    <w:rsid w:val="00BA6200"/>
    <w:pPr>
      <w:numPr>
        <w:numId w:val="1"/>
      </w:numPr>
      <w:tabs>
        <w:tab w:val="left" w:pos="284"/>
      </w:tabs>
      <w:contextualSpacing/>
    </w:pPr>
  </w:style>
  <w:style w:type="paragraph" w:customStyle="1" w:styleId="Bullets2">
    <w:name w:val="Bullets 2"/>
    <w:basedOn w:val="Normal"/>
    <w:uiPriority w:val="2"/>
    <w:qFormat/>
    <w:rsid w:val="00BA6200"/>
    <w:pPr>
      <w:numPr>
        <w:ilvl w:val="1"/>
        <w:numId w:val="1"/>
      </w:numPr>
      <w:tabs>
        <w:tab w:val="left" w:pos="567"/>
      </w:tabs>
      <w:spacing w:before="100" w:after="100"/>
      <w:contextualSpacing/>
    </w:pPr>
  </w:style>
  <w:style w:type="table" w:customStyle="1" w:styleId="a">
    <w:basedOn w:val="TableNormal"/>
    <w:tblPr>
      <w:tblStyleRowBandSize w:val="1"/>
      <w:tblStyleColBandSize w:val="1"/>
      <w:tblCellMar>
        <w:left w:w="120" w:type="dxa"/>
        <w:right w:w="120" w:type="dxa"/>
      </w:tblCellMar>
    </w:tblPr>
  </w:style>
  <w:style w:type="table" w:customStyle="1" w:styleId="a0">
    <w:basedOn w:val="TableNormal"/>
    <w:tblPr>
      <w:tblStyleRowBandSize w:val="1"/>
      <w:tblStyleColBandSize w:val="1"/>
      <w:tblCellMar>
        <w:left w:w="120" w:type="dxa"/>
        <w:right w:w="120" w:type="dxa"/>
      </w:tblCellMar>
    </w:tblPr>
  </w:style>
  <w:style w:type="table" w:customStyle="1" w:styleId="a1">
    <w:basedOn w:val="TableNormal"/>
    <w:tblPr>
      <w:tblStyleRowBandSize w:val="1"/>
      <w:tblStyleColBandSize w:val="1"/>
      <w:tblCellMar>
        <w:left w:w="120" w:type="dxa"/>
        <w:right w:w="120" w:type="dxa"/>
      </w:tblCellMar>
    </w:tblPr>
  </w:style>
  <w:style w:type="table" w:customStyle="1" w:styleId="a2">
    <w:basedOn w:val="TableNormal"/>
    <w:tblPr>
      <w:tblStyleRowBandSize w:val="1"/>
      <w:tblStyleColBandSize w:val="1"/>
      <w:tblCellMar>
        <w:left w:w="120" w:type="dxa"/>
        <w:right w:w="120" w:type="dxa"/>
      </w:tblCellMar>
    </w:tblPr>
  </w:style>
  <w:style w:type="table" w:customStyle="1" w:styleId="a3">
    <w:basedOn w:val="TableNormal"/>
    <w:tblPr>
      <w:tblStyleRowBandSize w:val="1"/>
      <w:tblStyleColBandSize w:val="1"/>
      <w:tblCellMar>
        <w:left w:w="120" w:type="dxa"/>
        <w:right w:w="120" w:type="dxa"/>
      </w:tblCellMar>
    </w:tblPr>
  </w:style>
  <w:style w:type="table" w:customStyle="1" w:styleId="a4">
    <w:basedOn w:val="TableNormal"/>
    <w:tblPr>
      <w:tblStyleRowBandSize w:val="1"/>
      <w:tblStyleColBandSize w:val="1"/>
      <w:tblCellMar>
        <w:left w:w="120" w:type="dxa"/>
        <w:right w:w="120" w:type="dxa"/>
      </w:tblCellMar>
    </w:tblPr>
  </w:style>
  <w:style w:type="table" w:customStyle="1" w:styleId="a5">
    <w:basedOn w:val="TableNormal"/>
    <w:tblPr>
      <w:tblStyleRowBandSize w:val="1"/>
      <w:tblStyleColBandSize w:val="1"/>
      <w:tblCellMar>
        <w:left w:w="120" w:type="dxa"/>
        <w:right w:w="120" w:type="dxa"/>
      </w:tblCellMar>
    </w:tblPr>
  </w:style>
  <w:style w:type="table" w:customStyle="1" w:styleId="a6">
    <w:basedOn w:val="TableNormal"/>
    <w:tblPr>
      <w:tblStyleRowBandSize w:val="1"/>
      <w:tblStyleColBandSize w:val="1"/>
      <w:tblCellMar>
        <w:left w:w="120" w:type="dxa"/>
        <w:right w:w="120" w:type="dxa"/>
      </w:tblCellMar>
    </w:tblPr>
  </w:style>
  <w:style w:type="table" w:customStyle="1" w:styleId="a7">
    <w:basedOn w:val="TableNormal"/>
    <w:tblPr>
      <w:tblStyleRowBandSize w:val="1"/>
      <w:tblStyleColBandSize w:val="1"/>
      <w:tblCellMar>
        <w:left w:w="120" w:type="dxa"/>
        <w:right w:w="120" w:type="dxa"/>
      </w:tblCellMar>
    </w:tblPr>
  </w:style>
  <w:style w:type="table" w:customStyle="1" w:styleId="a8">
    <w:basedOn w:val="TableNormal"/>
    <w:tblPr>
      <w:tblStyleRowBandSize w:val="1"/>
      <w:tblStyleColBandSize w:val="1"/>
      <w:tblCellMar>
        <w:left w:w="120" w:type="dxa"/>
        <w:right w:w="120" w:type="dxa"/>
      </w:tblCellMar>
    </w:tblPr>
  </w:style>
  <w:style w:type="table" w:customStyle="1" w:styleId="a9">
    <w:basedOn w:val="TableNormal"/>
    <w:tblPr>
      <w:tblStyleRowBandSize w:val="1"/>
      <w:tblStyleColBandSize w:val="1"/>
      <w:tblCellMar>
        <w:left w:w="120" w:type="dxa"/>
        <w:right w:w="120" w:type="dxa"/>
      </w:tblCellMar>
    </w:tblPr>
  </w:style>
  <w:style w:type="table" w:customStyle="1" w:styleId="aa">
    <w:basedOn w:val="TableNormal"/>
    <w:tblPr>
      <w:tblStyleRowBandSize w:val="1"/>
      <w:tblStyleColBandSize w:val="1"/>
      <w:tblCellMar>
        <w:left w:w="120" w:type="dxa"/>
        <w:right w:w="120" w:type="dxa"/>
      </w:tblCellMar>
    </w:tblPr>
  </w:style>
  <w:style w:type="table" w:customStyle="1" w:styleId="ab">
    <w:basedOn w:val="TableNormal"/>
    <w:tblPr>
      <w:tblStyleRowBandSize w:val="1"/>
      <w:tblStyleColBandSize w:val="1"/>
      <w:tblCellMar>
        <w:left w:w="120" w:type="dxa"/>
        <w:right w:w="120" w:type="dxa"/>
      </w:tblCellMar>
    </w:tblPr>
  </w:style>
  <w:style w:type="table" w:customStyle="1" w:styleId="ac">
    <w:basedOn w:val="TableNormal"/>
    <w:tblPr>
      <w:tblStyleRowBandSize w:val="1"/>
      <w:tblStyleColBandSize w:val="1"/>
      <w:tblCellMar>
        <w:left w:w="120" w:type="dxa"/>
        <w:right w:w="120" w:type="dxa"/>
      </w:tblCellMar>
    </w:tblPr>
  </w:style>
  <w:style w:type="table" w:customStyle="1" w:styleId="ad">
    <w:basedOn w:val="TableNormal"/>
    <w:tblPr>
      <w:tblStyleRowBandSize w:val="1"/>
      <w:tblStyleColBandSize w:val="1"/>
      <w:tblCellMar>
        <w:left w:w="120" w:type="dxa"/>
        <w:right w:w="120" w:type="dxa"/>
      </w:tblCellMar>
    </w:tblPr>
  </w:style>
  <w:style w:type="table" w:customStyle="1" w:styleId="ae">
    <w:basedOn w:val="TableNormal"/>
    <w:tblPr>
      <w:tblStyleRowBandSize w:val="1"/>
      <w:tblStyleColBandSize w:val="1"/>
      <w:tblCellMar>
        <w:left w:w="120" w:type="dxa"/>
        <w:right w:w="120" w:type="dxa"/>
      </w:tblCellMar>
    </w:tblPr>
  </w:style>
  <w:style w:type="table" w:customStyle="1" w:styleId="af">
    <w:basedOn w:val="TableNormal"/>
    <w:tblPr>
      <w:tblStyleRowBandSize w:val="1"/>
      <w:tblStyleColBandSize w:val="1"/>
      <w:tblCellMar>
        <w:left w:w="120" w:type="dxa"/>
        <w:right w:w="120" w:type="dxa"/>
      </w:tblCellMar>
    </w:tblPr>
  </w:style>
  <w:style w:type="table" w:customStyle="1" w:styleId="af0">
    <w:basedOn w:val="TableNormal"/>
    <w:tblPr>
      <w:tblStyleRowBandSize w:val="1"/>
      <w:tblStyleColBandSize w:val="1"/>
      <w:tblCellMar>
        <w:left w:w="120" w:type="dxa"/>
        <w:right w:w="120" w:type="dxa"/>
      </w:tblCellMar>
    </w:tblPr>
  </w:style>
  <w:style w:type="table" w:customStyle="1" w:styleId="af1">
    <w:basedOn w:val="TableNormal"/>
    <w:tblPr>
      <w:tblStyleRowBandSize w:val="1"/>
      <w:tblStyleColBandSize w:val="1"/>
      <w:tblCellMar>
        <w:left w:w="120" w:type="dxa"/>
        <w:right w:w="120" w:type="dxa"/>
      </w:tblCellMar>
    </w:tblPr>
  </w:style>
  <w:style w:type="table" w:customStyle="1" w:styleId="af2">
    <w:basedOn w:val="TableNormal"/>
    <w:tblPr>
      <w:tblStyleRowBandSize w:val="1"/>
      <w:tblStyleColBandSize w:val="1"/>
      <w:tblCellMar>
        <w:left w:w="120" w:type="dxa"/>
        <w:right w:w="120" w:type="dxa"/>
      </w:tblCellMar>
    </w:tblPr>
  </w:style>
  <w:style w:type="paragraph" w:styleId="Header">
    <w:name w:val="header"/>
    <w:basedOn w:val="Normal"/>
    <w:link w:val="HeaderChar"/>
    <w:uiPriority w:val="99"/>
    <w:unhideWhenUsed/>
    <w:rsid w:val="00ED5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86D"/>
  </w:style>
  <w:style w:type="paragraph" w:styleId="Footer">
    <w:name w:val="footer"/>
    <w:basedOn w:val="Normal"/>
    <w:link w:val="FooterChar"/>
    <w:uiPriority w:val="99"/>
    <w:unhideWhenUsed/>
    <w:rsid w:val="00ED5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86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left w:w="120" w:type="dxa"/>
        <w:right w:w="120" w:type="dxa"/>
      </w:tblCellMar>
    </w:tblPr>
  </w:style>
  <w:style w:type="table" w:customStyle="1" w:styleId="af4">
    <w:basedOn w:val="TableNormal"/>
    <w:tblPr>
      <w:tblStyleRowBandSize w:val="1"/>
      <w:tblStyleColBandSize w:val="1"/>
      <w:tblCellMar>
        <w:left w:w="120" w:type="dxa"/>
        <w:right w:w="120" w:type="dxa"/>
      </w:tblCellMar>
    </w:tblPr>
  </w:style>
  <w:style w:type="table" w:customStyle="1" w:styleId="af5">
    <w:basedOn w:val="TableNormal"/>
    <w:tblPr>
      <w:tblStyleRowBandSize w:val="1"/>
      <w:tblStyleColBandSize w:val="1"/>
      <w:tblCellMar>
        <w:left w:w="120" w:type="dxa"/>
        <w:right w:w="120" w:type="dxa"/>
      </w:tblCellMar>
    </w:tblPr>
  </w:style>
  <w:style w:type="table" w:customStyle="1" w:styleId="af6">
    <w:basedOn w:val="TableNormal"/>
    <w:tblPr>
      <w:tblStyleRowBandSize w:val="1"/>
      <w:tblStyleColBandSize w:val="1"/>
      <w:tblCellMar>
        <w:left w:w="120" w:type="dxa"/>
        <w:right w:w="120" w:type="dxa"/>
      </w:tblCellMar>
    </w:tblPr>
  </w:style>
  <w:style w:type="table" w:customStyle="1" w:styleId="af7">
    <w:basedOn w:val="TableNormal"/>
    <w:tblPr>
      <w:tblStyleRowBandSize w:val="1"/>
      <w:tblStyleColBandSize w:val="1"/>
      <w:tblCellMar>
        <w:left w:w="120" w:type="dxa"/>
        <w:right w:w="120" w:type="dxa"/>
      </w:tblCellMar>
    </w:tblPr>
  </w:style>
  <w:style w:type="table" w:customStyle="1" w:styleId="af8">
    <w:basedOn w:val="TableNormal"/>
    <w:tblPr>
      <w:tblStyleRowBandSize w:val="1"/>
      <w:tblStyleColBandSize w:val="1"/>
      <w:tblCellMar>
        <w:left w:w="120" w:type="dxa"/>
        <w:right w:w="120" w:type="dxa"/>
      </w:tblCellMar>
    </w:tblPr>
  </w:style>
  <w:style w:type="table" w:customStyle="1" w:styleId="af9">
    <w:basedOn w:val="TableNormal"/>
    <w:tblPr>
      <w:tblStyleRowBandSize w:val="1"/>
      <w:tblStyleColBandSize w:val="1"/>
      <w:tblCellMar>
        <w:left w:w="120" w:type="dxa"/>
        <w:right w:w="120" w:type="dxa"/>
      </w:tblCellMar>
    </w:tblPr>
  </w:style>
  <w:style w:type="table" w:customStyle="1" w:styleId="afa">
    <w:basedOn w:val="TableNormal"/>
    <w:tblPr>
      <w:tblStyleRowBandSize w:val="1"/>
      <w:tblStyleColBandSize w:val="1"/>
      <w:tblCellMar>
        <w:left w:w="120" w:type="dxa"/>
        <w:right w:w="120" w:type="dxa"/>
      </w:tblCellMar>
    </w:tblPr>
  </w:style>
  <w:style w:type="table" w:customStyle="1" w:styleId="afb">
    <w:basedOn w:val="TableNormal"/>
    <w:tblPr>
      <w:tblStyleRowBandSize w:val="1"/>
      <w:tblStyleColBandSize w:val="1"/>
      <w:tblCellMar>
        <w:left w:w="120" w:type="dxa"/>
        <w:right w:w="120" w:type="dxa"/>
      </w:tblCellMar>
    </w:tblPr>
  </w:style>
  <w:style w:type="table" w:customStyle="1" w:styleId="afc">
    <w:basedOn w:val="TableNormal"/>
    <w:tblPr>
      <w:tblStyleRowBandSize w:val="1"/>
      <w:tblStyleColBandSize w:val="1"/>
      <w:tblCellMar>
        <w:left w:w="120" w:type="dxa"/>
        <w:right w:w="12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bnj8Fq4Y1fDM7sUu9VsRDd47LA==">CgMxLjA4AHIhMWlkQVNWXzZDODhCS3FGRmNNM2ZpOGhybjZYbHBpZ2It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2752</Words>
  <Characters>15691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Orchard</dc:creator>
  <cp:lastModifiedBy>David Orchard</cp:lastModifiedBy>
  <cp:revision>2</cp:revision>
  <dcterms:created xsi:type="dcterms:W3CDTF">2025-08-29T00:02:00Z</dcterms:created>
  <dcterms:modified xsi:type="dcterms:W3CDTF">2025-08-29T00:02:00Z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c6e4d1-3074-42e2-aa25-48367f5561e0_Enabled">
    <vt:lpwstr>true</vt:lpwstr>
  </property>
  <property fmtid="{D5CDD505-2E9C-101B-9397-08002B2CF9AE}" pid="3" name="MSIP_Label_e6c6e4d1-3074-42e2-aa25-48367f5561e0_SetDate">
    <vt:lpwstr>2024-04-17T04:04:21Z</vt:lpwstr>
  </property>
  <property fmtid="{D5CDD505-2E9C-101B-9397-08002B2CF9AE}" pid="4" name="MSIP_Label_e6c6e4d1-3074-42e2-aa25-48367f5561e0_Method">
    <vt:lpwstr>Standard</vt:lpwstr>
  </property>
  <property fmtid="{D5CDD505-2E9C-101B-9397-08002B2CF9AE}" pid="5" name="MSIP_Label_e6c6e4d1-3074-42e2-aa25-48367f5561e0_Name">
    <vt:lpwstr>General</vt:lpwstr>
  </property>
  <property fmtid="{D5CDD505-2E9C-101B-9397-08002B2CF9AE}" pid="6" name="MSIP_Label_e6c6e4d1-3074-42e2-aa25-48367f5561e0_SiteId">
    <vt:lpwstr>a88935c3-586c-4558-9578-67aabfe160a8</vt:lpwstr>
  </property>
  <property fmtid="{D5CDD505-2E9C-101B-9397-08002B2CF9AE}" pid="7" name="MSIP_Label_e6c6e4d1-3074-42e2-aa25-48367f5561e0_ActionId">
    <vt:lpwstr>c8a9105e-f1a2-4b87-b0e2-036ab396aa2a</vt:lpwstr>
  </property>
  <property fmtid="{D5CDD505-2E9C-101B-9397-08002B2CF9AE}" pid="8" name="MSIP_Label_e6c6e4d1-3074-42e2-aa25-48367f5561e0_ContentBits">
    <vt:lpwstr>0</vt:lpwstr>
  </property>
  <property fmtid="{D5CDD505-2E9C-101B-9397-08002B2CF9AE}" pid="9" name="GrammarlyDocumentId">
    <vt:lpwstr>543990e5ad2264446ed18d8a41e518994cd11e5913add8d79861f7a6ba226545</vt:lpwstr>
  </property>
</Properties>
</file>